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7E773" w14:textId="77777777" w:rsidR="00AC70F1" w:rsidRPr="00252459" w:rsidRDefault="00AC70F1" w:rsidP="00AC70F1">
      <w:pPr>
        <w:tabs>
          <w:tab w:val="left" w:pos="3070"/>
          <w:tab w:val="center" w:pos="4536"/>
        </w:tabs>
        <w:spacing w:line="360" w:lineRule="auto"/>
        <w:jc w:val="center"/>
        <w:rPr>
          <w:rFonts w:asciiTheme="majorBidi" w:hAnsiTheme="majorBidi" w:cstheme="majorBidi"/>
          <w:b/>
          <w:sz w:val="28"/>
          <w:szCs w:val="28"/>
        </w:rPr>
      </w:pPr>
      <w:r w:rsidRPr="00252459">
        <w:rPr>
          <w:rFonts w:asciiTheme="majorBidi" w:hAnsiTheme="majorBidi" w:cstheme="majorBidi"/>
          <w:b/>
          <w:sz w:val="28"/>
          <w:szCs w:val="28"/>
        </w:rPr>
        <w:t>Theologische Fakultät der Humboldt-Universität zu Berlin</w:t>
      </w:r>
    </w:p>
    <w:p w14:paraId="7746E8A3" w14:textId="77777777" w:rsidR="00AC70F1" w:rsidRPr="00252459" w:rsidRDefault="00AC70F1" w:rsidP="00AC70F1">
      <w:pPr>
        <w:tabs>
          <w:tab w:val="left" w:pos="3070"/>
          <w:tab w:val="center" w:pos="4536"/>
        </w:tabs>
        <w:spacing w:line="360" w:lineRule="auto"/>
        <w:jc w:val="center"/>
        <w:rPr>
          <w:rFonts w:asciiTheme="majorBidi" w:hAnsiTheme="majorBidi" w:cstheme="majorBidi"/>
          <w:b/>
          <w:sz w:val="28"/>
          <w:szCs w:val="28"/>
        </w:rPr>
      </w:pPr>
      <w:r w:rsidRPr="00252459">
        <w:rPr>
          <w:rFonts w:asciiTheme="majorBidi" w:hAnsiTheme="majorBidi" w:cstheme="majorBidi"/>
          <w:b/>
          <w:sz w:val="28"/>
          <w:szCs w:val="28"/>
        </w:rPr>
        <w:t>Gleichstellungskonzept</w:t>
      </w:r>
    </w:p>
    <w:p w14:paraId="7657A874" w14:textId="77777777" w:rsidR="00AC70F1" w:rsidRPr="00252459" w:rsidRDefault="00AC70F1" w:rsidP="00AC70F1">
      <w:pPr>
        <w:spacing w:line="276" w:lineRule="auto"/>
        <w:jc w:val="center"/>
        <w:rPr>
          <w:rFonts w:asciiTheme="majorBidi" w:hAnsiTheme="majorBidi" w:cstheme="majorBidi"/>
          <w:b/>
        </w:rPr>
      </w:pPr>
    </w:p>
    <w:p w14:paraId="1BE65212" w14:textId="7AE2F164" w:rsidR="00AC70F1" w:rsidRPr="00252459" w:rsidRDefault="00AC70F1" w:rsidP="003572FD">
      <w:pPr>
        <w:pStyle w:val="Textkrper"/>
        <w:spacing w:line="269" w:lineRule="auto"/>
        <w:jc w:val="center"/>
        <w:rPr>
          <w:rFonts w:asciiTheme="majorBidi" w:hAnsiTheme="majorBidi" w:cstheme="majorBidi"/>
          <w:sz w:val="24"/>
          <w:szCs w:val="24"/>
        </w:rPr>
      </w:pPr>
      <w:r w:rsidRPr="00252459">
        <w:rPr>
          <w:rFonts w:asciiTheme="majorBidi" w:hAnsiTheme="majorBidi" w:cstheme="majorBidi"/>
          <w:sz w:val="22"/>
          <w:szCs w:val="22"/>
        </w:rPr>
        <w:t>nach</w:t>
      </w:r>
      <w:r w:rsidRPr="00252459">
        <w:rPr>
          <w:rFonts w:asciiTheme="majorBidi" w:hAnsiTheme="majorBidi" w:cstheme="majorBidi"/>
          <w:spacing w:val="-2"/>
          <w:sz w:val="22"/>
          <w:szCs w:val="22"/>
        </w:rPr>
        <w:t xml:space="preserve"> </w:t>
      </w:r>
      <w:r w:rsidRPr="00252459">
        <w:rPr>
          <w:rFonts w:asciiTheme="majorBidi" w:hAnsiTheme="majorBidi" w:cstheme="majorBidi"/>
          <w:sz w:val="22"/>
          <w:szCs w:val="22"/>
        </w:rPr>
        <w:t>Beschluss</w:t>
      </w:r>
      <w:r w:rsidRPr="00252459">
        <w:rPr>
          <w:rFonts w:asciiTheme="majorBidi" w:hAnsiTheme="majorBidi" w:cstheme="majorBidi"/>
          <w:spacing w:val="-2"/>
          <w:sz w:val="22"/>
          <w:szCs w:val="22"/>
        </w:rPr>
        <w:t xml:space="preserve"> </w:t>
      </w:r>
      <w:r w:rsidRPr="00252459">
        <w:rPr>
          <w:rFonts w:asciiTheme="majorBidi" w:hAnsiTheme="majorBidi" w:cstheme="majorBidi"/>
          <w:sz w:val="22"/>
          <w:szCs w:val="22"/>
        </w:rPr>
        <w:t>des</w:t>
      </w:r>
      <w:r w:rsidRPr="00252459">
        <w:rPr>
          <w:rFonts w:asciiTheme="majorBidi" w:hAnsiTheme="majorBidi" w:cstheme="majorBidi"/>
          <w:spacing w:val="-2"/>
          <w:sz w:val="22"/>
          <w:szCs w:val="22"/>
        </w:rPr>
        <w:t xml:space="preserve"> </w:t>
      </w:r>
      <w:r w:rsidRPr="00252459">
        <w:rPr>
          <w:rFonts w:asciiTheme="majorBidi" w:hAnsiTheme="majorBidi" w:cstheme="majorBidi"/>
          <w:sz w:val="22"/>
          <w:szCs w:val="22"/>
        </w:rPr>
        <w:t>Fakultätsrates</w:t>
      </w:r>
      <w:r w:rsidRPr="00252459">
        <w:rPr>
          <w:rFonts w:asciiTheme="majorBidi" w:hAnsiTheme="majorBidi" w:cstheme="majorBidi"/>
          <w:spacing w:val="-2"/>
          <w:sz w:val="22"/>
          <w:szCs w:val="22"/>
        </w:rPr>
        <w:t xml:space="preserve"> </w:t>
      </w:r>
      <w:r w:rsidRPr="00252459">
        <w:rPr>
          <w:rFonts w:asciiTheme="majorBidi" w:hAnsiTheme="majorBidi" w:cstheme="majorBidi"/>
          <w:sz w:val="22"/>
          <w:szCs w:val="22"/>
        </w:rPr>
        <w:t xml:space="preserve">vom </w:t>
      </w:r>
      <w:r w:rsidR="004A7C9E" w:rsidRPr="004A7C9E">
        <w:rPr>
          <w:color w:val="000000" w:themeColor="text1"/>
          <w:sz w:val="22"/>
          <w:szCs w:val="22"/>
        </w:rPr>
        <w:t>17.</w:t>
      </w:r>
      <w:r w:rsidR="004A7C9E" w:rsidRPr="004A7C9E">
        <w:rPr>
          <w:color w:val="000000" w:themeColor="text1"/>
          <w:sz w:val="22"/>
          <w:szCs w:val="22"/>
        </w:rPr>
        <w:t>0</w:t>
      </w:r>
      <w:r w:rsidR="004A7C9E" w:rsidRPr="004A7C9E">
        <w:rPr>
          <w:color w:val="000000" w:themeColor="text1"/>
          <w:sz w:val="22"/>
          <w:szCs w:val="22"/>
        </w:rPr>
        <w:t>7.</w:t>
      </w:r>
      <w:r w:rsidR="00247550" w:rsidRPr="00252459">
        <w:rPr>
          <w:rFonts w:asciiTheme="majorBidi" w:hAnsiTheme="majorBidi" w:cstheme="majorBidi"/>
          <w:sz w:val="22"/>
          <w:szCs w:val="22"/>
        </w:rPr>
        <w:t>2024</w:t>
      </w:r>
    </w:p>
    <w:p w14:paraId="6DE72D9D" w14:textId="77777777" w:rsidR="00AC70F1" w:rsidRPr="00252459" w:rsidRDefault="00AC70F1" w:rsidP="00AC70F1">
      <w:pPr>
        <w:pStyle w:val="Textkrper"/>
        <w:spacing w:line="269" w:lineRule="auto"/>
        <w:jc w:val="center"/>
        <w:rPr>
          <w:rFonts w:asciiTheme="majorBidi" w:hAnsiTheme="majorBidi" w:cstheme="majorBidi"/>
          <w:sz w:val="22"/>
          <w:szCs w:val="22"/>
        </w:rPr>
      </w:pPr>
    </w:p>
    <w:p w14:paraId="58CDDF43" w14:textId="6AECDEF1" w:rsidR="00AC70F1" w:rsidRPr="00252459" w:rsidRDefault="00AC70F1" w:rsidP="00AC70F1">
      <w:pPr>
        <w:pStyle w:val="Textkrper"/>
        <w:spacing w:line="269" w:lineRule="auto"/>
        <w:jc w:val="both"/>
        <w:rPr>
          <w:rFonts w:asciiTheme="majorBidi" w:hAnsiTheme="majorBidi" w:cstheme="majorBidi"/>
          <w:sz w:val="22"/>
          <w:szCs w:val="22"/>
        </w:rPr>
      </w:pPr>
      <w:r w:rsidRPr="00252459">
        <w:rPr>
          <w:rFonts w:asciiTheme="majorBidi" w:hAnsiTheme="majorBidi" w:cstheme="majorBidi"/>
          <w:sz w:val="22"/>
          <w:szCs w:val="22"/>
        </w:rPr>
        <w:t>Dieses</w:t>
      </w:r>
      <w:r w:rsidRPr="00252459">
        <w:rPr>
          <w:rFonts w:asciiTheme="majorBidi" w:hAnsiTheme="majorBidi" w:cstheme="majorBidi"/>
          <w:spacing w:val="-5"/>
          <w:sz w:val="22"/>
          <w:szCs w:val="22"/>
        </w:rPr>
        <w:t xml:space="preserve"> </w:t>
      </w:r>
      <w:r w:rsidRPr="00252459">
        <w:rPr>
          <w:rFonts w:asciiTheme="majorBidi" w:hAnsiTheme="majorBidi" w:cstheme="majorBidi"/>
          <w:sz w:val="22"/>
          <w:szCs w:val="22"/>
        </w:rPr>
        <w:t>Gleichstellungskonzept</w:t>
      </w:r>
      <w:r w:rsidRPr="00252459">
        <w:rPr>
          <w:rFonts w:asciiTheme="majorBidi" w:hAnsiTheme="majorBidi" w:cstheme="majorBidi"/>
          <w:spacing w:val="-3"/>
          <w:sz w:val="22"/>
          <w:szCs w:val="22"/>
        </w:rPr>
        <w:t xml:space="preserve"> </w:t>
      </w:r>
      <w:r w:rsidRPr="00252459">
        <w:rPr>
          <w:rFonts w:asciiTheme="majorBidi" w:hAnsiTheme="majorBidi" w:cstheme="majorBidi"/>
          <w:sz w:val="22"/>
          <w:szCs w:val="22"/>
        </w:rPr>
        <w:t>schreibt</w:t>
      </w:r>
      <w:r w:rsidRPr="00252459">
        <w:rPr>
          <w:rFonts w:asciiTheme="majorBidi" w:hAnsiTheme="majorBidi" w:cstheme="majorBidi"/>
          <w:spacing w:val="-3"/>
          <w:sz w:val="22"/>
          <w:szCs w:val="22"/>
        </w:rPr>
        <w:t xml:space="preserve"> </w:t>
      </w:r>
      <w:r w:rsidRPr="00252459">
        <w:rPr>
          <w:rFonts w:asciiTheme="majorBidi" w:hAnsiTheme="majorBidi" w:cstheme="majorBidi"/>
          <w:sz w:val="22"/>
          <w:szCs w:val="22"/>
        </w:rPr>
        <w:t>das</w:t>
      </w:r>
      <w:r w:rsidRPr="00252459">
        <w:rPr>
          <w:rFonts w:asciiTheme="majorBidi" w:hAnsiTheme="majorBidi" w:cstheme="majorBidi"/>
          <w:spacing w:val="-4"/>
          <w:sz w:val="22"/>
          <w:szCs w:val="22"/>
        </w:rPr>
        <w:t xml:space="preserve"> </w:t>
      </w:r>
      <w:r w:rsidRPr="00252459">
        <w:rPr>
          <w:rFonts w:asciiTheme="majorBidi" w:hAnsiTheme="majorBidi" w:cstheme="majorBidi"/>
          <w:sz w:val="22"/>
          <w:szCs w:val="22"/>
        </w:rPr>
        <w:t>Gleichstellungskonzept</w:t>
      </w:r>
      <w:r w:rsidRPr="00252459">
        <w:rPr>
          <w:rFonts w:asciiTheme="majorBidi" w:hAnsiTheme="majorBidi" w:cstheme="majorBidi"/>
          <w:spacing w:val="-4"/>
          <w:sz w:val="22"/>
          <w:szCs w:val="22"/>
        </w:rPr>
        <w:t xml:space="preserve"> </w:t>
      </w:r>
      <w:r w:rsidRPr="00252459">
        <w:rPr>
          <w:rFonts w:asciiTheme="majorBidi" w:hAnsiTheme="majorBidi" w:cstheme="majorBidi"/>
          <w:sz w:val="22"/>
          <w:szCs w:val="22"/>
        </w:rPr>
        <w:t>vom</w:t>
      </w:r>
      <w:r w:rsidRPr="00252459">
        <w:rPr>
          <w:rFonts w:asciiTheme="majorBidi" w:hAnsiTheme="majorBidi" w:cstheme="majorBidi"/>
          <w:spacing w:val="-3"/>
          <w:sz w:val="22"/>
          <w:szCs w:val="22"/>
        </w:rPr>
        <w:t xml:space="preserve"> </w:t>
      </w:r>
      <w:r w:rsidR="001F3B9C" w:rsidRPr="00252459">
        <w:rPr>
          <w:rFonts w:asciiTheme="majorBidi" w:hAnsiTheme="majorBidi" w:cstheme="majorBidi"/>
          <w:spacing w:val="-3"/>
          <w:sz w:val="22"/>
          <w:szCs w:val="22"/>
        </w:rPr>
        <w:t xml:space="preserve">13.07.2022 </w:t>
      </w:r>
      <w:r w:rsidRPr="00252459">
        <w:rPr>
          <w:rFonts w:asciiTheme="majorBidi" w:hAnsiTheme="majorBidi" w:cstheme="majorBidi"/>
          <w:sz w:val="22"/>
          <w:szCs w:val="22"/>
        </w:rPr>
        <w:t>fort.</w:t>
      </w:r>
    </w:p>
    <w:p w14:paraId="6CFAF7A9" w14:textId="77777777" w:rsidR="00AC70F1" w:rsidRPr="00252459" w:rsidRDefault="00AC70F1" w:rsidP="00AC70F1">
      <w:pPr>
        <w:pStyle w:val="Textkrper"/>
        <w:spacing w:line="269" w:lineRule="auto"/>
        <w:jc w:val="both"/>
        <w:rPr>
          <w:rFonts w:asciiTheme="majorBidi" w:hAnsiTheme="majorBidi" w:cstheme="majorBidi"/>
          <w:b/>
          <w:bCs/>
          <w:sz w:val="22"/>
          <w:szCs w:val="22"/>
        </w:rPr>
      </w:pPr>
    </w:p>
    <w:p w14:paraId="0B69DC64" w14:textId="77777777" w:rsidR="00E804CF" w:rsidRPr="00252459" w:rsidRDefault="00E804CF" w:rsidP="00AC70F1">
      <w:pPr>
        <w:pStyle w:val="Textkrper"/>
        <w:spacing w:line="276" w:lineRule="auto"/>
        <w:jc w:val="both"/>
        <w:rPr>
          <w:rFonts w:asciiTheme="majorBidi" w:hAnsiTheme="majorBidi" w:cstheme="majorBidi"/>
          <w:b/>
          <w:bCs/>
          <w:sz w:val="22"/>
          <w:szCs w:val="22"/>
        </w:rPr>
      </w:pPr>
    </w:p>
    <w:p w14:paraId="72FC04EE" w14:textId="77E0F026" w:rsidR="00AC70F1" w:rsidRPr="00252459" w:rsidRDefault="00AC70F1" w:rsidP="00AC70F1">
      <w:pPr>
        <w:pStyle w:val="Textkrper"/>
        <w:spacing w:line="276" w:lineRule="auto"/>
        <w:jc w:val="both"/>
        <w:rPr>
          <w:rFonts w:asciiTheme="majorBidi" w:hAnsiTheme="majorBidi" w:cstheme="majorBidi"/>
          <w:b/>
          <w:bCs/>
          <w:sz w:val="22"/>
          <w:szCs w:val="22"/>
        </w:rPr>
      </w:pPr>
      <w:r w:rsidRPr="00252459">
        <w:rPr>
          <w:rFonts w:asciiTheme="majorBidi" w:hAnsiTheme="majorBidi" w:cstheme="majorBidi"/>
          <w:b/>
          <w:bCs/>
          <w:sz w:val="22"/>
          <w:szCs w:val="22"/>
        </w:rPr>
        <w:t>Präambel</w:t>
      </w:r>
    </w:p>
    <w:p w14:paraId="49560616" w14:textId="2499AFAC" w:rsidR="00AC70F1" w:rsidRPr="00252459" w:rsidRDefault="00AC70F1" w:rsidP="006904E0">
      <w:pPr>
        <w:pStyle w:val="Textkrper"/>
        <w:spacing w:line="276" w:lineRule="auto"/>
        <w:jc w:val="both"/>
        <w:rPr>
          <w:rFonts w:asciiTheme="majorBidi" w:hAnsiTheme="majorBidi" w:cstheme="majorBidi"/>
          <w:sz w:val="22"/>
          <w:szCs w:val="22"/>
        </w:rPr>
      </w:pPr>
      <w:r w:rsidRPr="00252459">
        <w:rPr>
          <w:rFonts w:asciiTheme="majorBidi" w:hAnsiTheme="majorBidi" w:cstheme="majorBidi"/>
          <w:sz w:val="22"/>
          <w:szCs w:val="22"/>
        </w:rPr>
        <w:t xml:space="preserve">Die Theologische Fakultät versteht Gleichstellung als </w:t>
      </w:r>
      <w:bookmarkStart w:id="0" w:name="_GoBack"/>
      <w:bookmarkEnd w:id="0"/>
      <w:r w:rsidRPr="00252459">
        <w:rPr>
          <w:rFonts w:asciiTheme="majorBidi" w:hAnsiTheme="majorBidi" w:cstheme="majorBidi"/>
          <w:sz w:val="22"/>
          <w:szCs w:val="22"/>
        </w:rPr>
        <w:t>einen dauerhaften Auftrag. Fragen, Herausforderungen und</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Themen der Gleichstellung verändern sich kontinuierlich und sind deshalb regelmäßig neu zu reflektieren</w:t>
      </w:r>
      <w:r w:rsidRPr="00252459">
        <w:rPr>
          <w:rFonts w:asciiTheme="majorBidi" w:hAnsiTheme="majorBidi" w:cstheme="majorBidi"/>
          <w:spacing w:val="1"/>
          <w:sz w:val="22"/>
          <w:szCs w:val="22"/>
        </w:rPr>
        <w:t xml:space="preserve"> und zu fokussieren</w:t>
      </w:r>
      <w:r w:rsidRPr="00252459">
        <w:rPr>
          <w:rFonts w:asciiTheme="majorBidi" w:hAnsiTheme="majorBidi" w:cstheme="majorBidi"/>
          <w:sz w:val="22"/>
          <w:szCs w:val="22"/>
        </w:rPr>
        <w:t xml:space="preserve">. Gleichstellung </w:t>
      </w:r>
      <w:r w:rsidR="006904E0" w:rsidRPr="00252459">
        <w:rPr>
          <w:rFonts w:asciiTheme="majorBidi" w:hAnsiTheme="majorBidi" w:cstheme="majorBidi"/>
          <w:sz w:val="22"/>
          <w:szCs w:val="22"/>
        </w:rPr>
        <w:t xml:space="preserve">zielt auf die Teilhabe aller Personen. Sie </w:t>
      </w:r>
      <w:r w:rsidRPr="00252459">
        <w:rPr>
          <w:rFonts w:asciiTheme="majorBidi" w:hAnsiTheme="majorBidi" w:cstheme="majorBidi"/>
          <w:sz w:val="22"/>
          <w:szCs w:val="22"/>
        </w:rPr>
        <w:t xml:space="preserve">setzt </w:t>
      </w:r>
      <w:r w:rsidRPr="00252459">
        <w:rPr>
          <w:rFonts w:asciiTheme="majorBidi" w:hAnsiTheme="majorBidi" w:cstheme="majorBidi"/>
          <w:spacing w:val="1"/>
          <w:sz w:val="22"/>
          <w:szCs w:val="22"/>
        </w:rPr>
        <w:t xml:space="preserve">das </w:t>
      </w:r>
      <w:r w:rsidRPr="00252459">
        <w:rPr>
          <w:rFonts w:asciiTheme="majorBidi" w:hAnsiTheme="majorBidi" w:cstheme="majorBidi"/>
          <w:sz w:val="22"/>
          <w:szCs w:val="22"/>
        </w:rPr>
        <w:t>Bewusstwerden</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teils</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impliziter</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hierarchischer</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Strukturen</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und</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struktureller</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Diskrimi</w:t>
      </w:r>
      <w:r w:rsidR="008C6ED1" w:rsidRPr="00252459">
        <w:rPr>
          <w:rFonts w:asciiTheme="majorBidi" w:hAnsiTheme="majorBidi" w:cstheme="majorBidi"/>
          <w:sz w:val="22"/>
          <w:szCs w:val="22"/>
        </w:rPr>
        <w:softHyphen/>
      </w:r>
      <w:r w:rsidRPr="00252459">
        <w:rPr>
          <w:rFonts w:asciiTheme="majorBidi" w:hAnsiTheme="majorBidi" w:cstheme="majorBidi"/>
          <w:sz w:val="22"/>
          <w:szCs w:val="22"/>
        </w:rPr>
        <w:t>nierungen voraus und zielt auf den Abbau solcher Strukturen. Unter</w:t>
      </w:r>
      <w:r w:rsidRPr="00252459">
        <w:rPr>
          <w:rFonts w:asciiTheme="majorBidi" w:hAnsiTheme="majorBidi" w:cstheme="majorBidi"/>
          <w:spacing w:val="-9"/>
          <w:sz w:val="22"/>
          <w:szCs w:val="22"/>
        </w:rPr>
        <w:t xml:space="preserve"> </w:t>
      </w:r>
      <w:r w:rsidRPr="00252459">
        <w:rPr>
          <w:rFonts w:asciiTheme="majorBidi" w:hAnsiTheme="majorBidi" w:cstheme="majorBidi"/>
          <w:sz w:val="22"/>
          <w:szCs w:val="22"/>
        </w:rPr>
        <w:t>strukturellen</w:t>
      </w:r>
      <w:r w:rsidRPr="00252459">
        <w:rPr>
          <w:rFonts w:asciiTheme="majorBidi" w:hAnsiTheme="majorBidi" w:cstheme="majorBidi"/>
          <w:spacing w:val="-6"/>
          <w:sz w:val="22"/>
          <w:szCs w:val="22"/>
        </w:rPr>
        <w:t xml:space="preserve"> </w:t>
      </w:r>
      <w:r w:rsidRPr="00252459">
        <w:rPr>
          <w:rFonts w:asciiTheme="majorBidi" w:hAnsiTheme="majorBidi" w:cstheme="majorBidi"/>
          <w:sz w:val="22"/>
          <w:szCs w:val="22"/>
        </w:rPr>
        <w:t>gruppenbezogenen</w:t>
      </w:r>
      <w:r w:rsidRPr="00252459">
        <w:rPr>
          <w:rFonts w:asciiTheme="majorBidi" w:hAnsiTheme="majorBidi" w:cstheme="majorBidi"/>
          <w:spacing w:val="-7"/>
          <w:sz w:val="22"/>
          <w:szCs w:val="22"/>
        </w:rPr>
        <w:t xml:space="preserve"> </w:t>
      </w:r>
      <w:r w:rsidRPr="00252459">
        <w:rPr>
          <w:rFonts w:asciiTheme="majorBidi" w:hAnsiTheme="majorBidi" w:cstheme="majorBidi"/>
          <w:sz w:val="22"/>
          <w:szCs w:val="22"/>
        </w:rPr>
        <w:t>Diskriminierungen</w:t>
      </w:r>
      <w:r w:rsidRPr="00252459">
        <w:rPr>
          <w:rFonts w:asciiTheme="majorBidi" w:hAnsiTheme="majorBidi" w:cstheme="majorBidi"/>
          <w:spacing w:val="-6"/>
          <w:sz w:val="22"/>
          <w:szCs w:val="22"/>
        </w:rPr>
        <w:t xml:space="preserve"> </w:t>
      </w:r>
      <w:r w:rsidRPr="00252459">
        <w:rPr>
          <w:rFonts w:asciiTheme="majorBidi" w:hAnsiTheme="majorBidi" w:cstheme="majorBidi"/>
          <w:sz w:val="22"/>
          <w:szCs w:val="22"/>
        </w:rPr>
        <w:t>versteht die Theologische</w:t>
      </w:r>
      <w:r w:rsidRPr="00252459">
        <w:rPr>
          <w:rFonts w:asciiTheme="majorBidi" w:hAnsiTheme="majorBidi" w:cstheme="majorBidi"/>
          <w:spacing w:val="-14"/>
          <w:sz w:val="22"/>
          <w:szCs w:val="22"/>
        </w:rPr>
        <w:t xml:space="preserve"> </w:t>
      </w:r>
      <w:r w:rsidRPr="00252459">
        <w:rPr>
          <w:rFonts w:asciiTheme="majorBidi" w:hAnsiTheme="majorBidi" w:cstheme="majorBidi"/>
          <w:sz w:val="22"/>
          <w:szCs w:val="22"/>
        </w:rPr>
        <w:t>Fakultät</w:t>
      </w:r>
      <w:r w:rsidRPr="00252459">
        <w:rPr>
          <w:rFonts w:asciiTheme="majorBidi" w:hAnsiTheme="majorBidi" w:cstheme="majorBidi"/>
          <w:spacing w:val="-14"/>
          <w:sz w:val="22"/>
          <w:szCs w:val="22"/>
        </w:rPr>
        <w:t xml:space="preserve"> </w:t>
      </w:r>
      <w:r w:rsidRPr="00252459">
        <w:rPr>
          <w:rFonts w:asciiTheme="majorBidi" w:hAnsiTheme="majorBidi" w:cstheme="majorBidi"/>
          <w:sz w:val="22"/>
          <w:szCs w:val="22"/>
        </w:rPr>
        <w:t>insbesondere die Diskriminierung von Mensche</w:t>
      </w:r>
      <w:r w:rsidRPr="00252459">
        <w:rPr>
          <w:rFonts w:asciiTheme="majorBidi" w:hAnsiTheme="majorBidi" w:cstheme="majorBidi"/>
          <w:spacing w:val="-14"/>
          <w:sz w:val="22"/>
          <w:szCs w:val="22"/>
        </w:rPr>
        <w:t xml:space="preserve">n </w:t>
      </w:r>
      <w:r w:rsidRPr="00252459">
        <w:rPr>
          <w:rFonts w:asciiTheme="majorBidi" w:hAnsiTheme="majorBidi" w:cstheme="majorBidi"/>
          <w:sz w:val="22"/>
          <w:szCs w:val="22"/>
        </w:rPr>
        <w:t>aufgrund</w:t>
      </w:r>
      <w:r w:rsidRPr="00252459">
        <w:rPr>
          <w:rFonts w:asciiTheme="majorBidi" w:hAnsiTheme="majorBidi" w:cstheme="majorBidi"/>
          <w:spacing w:val="-14"/>
          <w:sz w:val="22"/>
          <w:szCs w:val="22"/>
        </w:rPr>
        <w:t xml:space="preserve"> </w:t>
      </w:r>
      <w:r w:rsidRPr="00252459">
        <w:rPr>
          <w:rFonts w:asciiTheme="majorBidi" w:hAnsiTheme="majorBidi" w:cstheme="majorBidi"/>
          <w:sz w:val="22"/>
          <w:szCs w:val="22"/>
        </w:rPr>
        <w:t>ethnischer und rassistischer Zuschreibungen, sozial-ökonomischer</w:t>
      </w:r>
      <w:r w:rsidRPr="00252459">
        <w:rPr>
          <w:rFonts w:asciiTheme="majorBidi" w:hAnsiTheme="majorBidi" w:cstheme="majorBidi"/>
          <w:spacing w:val="-14"/>
          <w:sz w:val="22"/>
          <w:szCs w:val="22"/>
        </w:rPr>
        <w:t xml:space="preserve"> </w:t>
      </w:r>
      <w:r w:rsidRPr="00252459">
        <w:rPr>
          <w:rFonts w:asciiTheme="majorBidi" w:hAnsiTheme="majorBidi" w:cstheme="majorBidi"/>
          <w:sz w:val="22"/>
          <w:szCs w:val="22"/>
        </w:rPr>
        <w:t>Herkunft, sexueller Orientierung und Identität, aufgrund des (zugeschriebenen) Geschlechts, physischer und psychischer Einschränkungen</w:t>
      </w:r>
      <w:r w:rsidR="00B1403A" w:rsidRPr="00252459">
        <w:rPr>
          <w:rFonts w:asciiTheme="majorBidi" w:hAnsiTheme="majorBidi" w:cstheme="majorBidi"/>
          <w:sz w:val="22"/>
          <w:szCs w:val="22"/>
        </w:rPr>
        <w:t>, chronischer Erkrankungen</w:t>
      </w:r>
      <w:r w:rsidRPr="00252459">
        <w:rPr>
          <w:rFonts w:asciiTheme="majorBidi" w:hAnsiTheme="majorBidi" w:cstheme="majorBidi"/>
          <w:sz w:val="22"/>
          <w:szCs w:val="22"/>
        </w:rPr>
        <w:t xml:space="preserve"> und </w:t>
      </w:r>
      <w:proofErr w:type="spellStart"/>
      <w:r w:rsidRPr="00252459">
        <w:rPr>
          <w:rFonts w:asciiTheme="majorBidi" w:hAnsiTheme="majorBidi" w:cstheme="majorBidi"/>
          <w:sz w:val="22"/>
          <w:szCs w:val="22"/>
        </w:rPr>
        <w:t>Be</w:t>
      </w:r>
      <w:r w:rsidR="006904E0" w:rsidRPr="00252459">
        <w:rPr>
          <w:rFonts w:asciiTheme="majorBidi" w:hAnsiTheme="majorBidi" w:cstheme="majorBidi"/>
          <w:sz w:val="22"/>
          <w:szCs w:val="22"/>
        </w:rPr>
        <w:t>_</w:t>
      </w:r>
      <w:r w:rsidRPr="00252459">
        <w:rPr>
          <w:rFonts w:asciiTheme="majorBidi" w:hAnsiTheme="majorBidi" w:cstheme="majorBidi"/>
          <w:sz w:val="22"/>
          <w:szCs w:val="22"/>
        </w:rPr>
        <w:t>hinderung</w:t>
      </w:r>
      <w:proofErr w:type="spellEnd"/>
      <w:r w:rsidRPr="00252459">
        <w:rPr>
          <w:rFonts w:asciiTheme="majorBidi" w:hAnsiTheme="majorBidi" w:cstheme="majorBidi"/>
          <w:sz w:val="22"/>
          <w:szCs w:val="22"/>
        </w:rPr>
        <w:t>.</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Mit diesem Konzept von Gleich</w:t>
      </w:r>
      <w:r w:rsidR="008C6ED1" w:rsidRPr="00252459">
        <w:rPr>
          <w:rFonts w:asciiTheme="majorBidi" w:hAnsiTheme="majorBidi" w:cstheme="majorBidi"/>
          <w:sz w:val="22"/>
          <w:szCs w:val="22"/>
        </w:rPr>
        <w:softHyphen/>
      </w:r>
      <w:r w:rsidRPr="00252459">
        <w:rPr>
          <w:rFonts w:asciiTheme="majorBidi" w:hAnsiTheme="majorBidi" w:cstheme="majorBidi"/>
          <w:sz w:val="22"/>
          <w:szCs w:val="22"/>
        </w:rPr>
        <w:t>stellung wird das Konzept der Frauen</w:t>
      </w:r>
      <w:r w:rsidR="001F3B9C" w:rsidRPr="00252459">
        <w:rPr>
          <w:rFonts w:asciiTheme="majorBidi" w:hAnsiTheme="majorBidi" w:cstheme="majorBidi"/>
          <w:sz w:val="22"/>
          <w:szCs w:val="22"/>
        </w:rPr>
        <w:t>*</w:t>
      </w:r>
      <w:proofErr w:type="spellStart"/>
      <w:r w:rsidRPr="00252459">
        <w:rPr>
          <w:rFonts w:asciiTheme="majorBidi" w:hAnsiTheme="majorBidi" w:cstheme="majorBidi"/>
          <w:sz w:val="22"/>
          <w:szCs w:val="22"/>
        </w:rPr>
        <w:t>förderung</w:t>
      </w:r>
      <w:proofErr w:type="spellEnd"/>
      <w:r w:rsidRPr="00252459">
        <w:rPr>
          <w:rFonts w:asciiTheme="majorBidi" w:hAnsiTheme="majorBidi" w:cstheme="majorBidi"/>
          <w:sz w:val="22"/>
          <w:szCs w:val="22"/>
        </w:rPr>
        <w:t xml:space="preserve"> fortgeschrieben im Sinne der Gleichstellung, wie es auch die Novelle des </w:t>
      </w:r>
      <w:proofErr w:type="spellStart"/>
      <w:r w:rsidRPr="00252459">
        <w:rPr>
          <w:rFonts w:asciiTheme="majorBidi" w:hAnsiTheme="majorBidi" w:cstheme="majorBidi"/>
          <w:sz w:val="22"/>
          <w:szCs w:val="22"/>
        </w:rPr>
        <w:t>BerlHG</w:t>
      </w:r>
      <w:proofErr w:type="spellEnd"/>
      <w:r w:rsidRPr="00252459">
        <w:rPr>
          <w:rFonts w:asciiTheme="majorBidi" w:hAnsiTheme="majorBidi" w:cstheme="majorBidi"/>
          <w:sz w:val="22"/>
          <w:szCs w:val="22"/>
        </w:rPr>
        <w:t xml:space="preserve"> in der Weiterentwicklung der Frauenförderung zur Gleichstellung abbildet (</w:t>
      </w:r>
      <w:proofErr w:type="spellStart"/>
      <w:r w:rsidRPr="00252459">
        <w:rPr>
          <w:rFonts w:asciiTheme="majorBidi" w:hAnsiTheme="majorBidi" w:cstheme="majorBidi"/>
          <w:sz w:val="22"/>
          <w:szCs w:val="22"/>
        </w:rPr>
        <w:t>BerlHG</w:t>
      </w:r>
      <w:proofErr w:type="spellEnd"/>
      <w:r w:rsidRPr="00252459">
        <w:rPr>
          <w:rFonts w:asciiTheme="majorBidi" w:hAnsiTheme="majorBidi" w:cstheme="majorBidi"/>
          <w:sz w:val="22"/>
          <w:szCs w:val="22"/>
        </w:rPr>
        <w:t xml:space="preserve"> §59 gemäß § 5c Absatz 3). </w:t>
      </w:r>
    </w:p>
    <w:p w14:paraId="04345BED" w14:textId="08D21EA8" w:rsidR="00AC70F1" w:rsidRPr="00252459" w:rsidRDefault="00AC70F1" w:rsidP="003F5673">
      <w:pPr>
        <w:pStyle w:val="Textkrper"/>
        <w:spacing w:line="276" w:lineRule="auto"/>
        <w:jc w:val="both"/>
        <w:rPr>
          <w:rFonts w:asciiTheme="majorBidi" w:hAnsiTheme="majorBidi" w:cstheme="majorBidi"/>
          <w:sz w:val="22"/>
          <w:szCs w:val="22"/>
        </w:rPr>
      </w:pPr>
      <w:r w:rsidRPr="00252459">
        <w:rPr>
          <w:rFonts w:asciiTheme="majorBidi" w:hAnsiTheme="majorBidi" w:cstheme="majorBidi"/>
          <w:sz w:val="22"/>
          <w:szCs w:val="22"/>
        </w:rPr>
        <w:t>Die Fakultät gibt mit diesem Gleichstellungskonzept</w:t>
      </w:r>
      <w:r w:rsidRPr="00252459">
        <w:rPr>
          <w:rFonts w:asciiTheme="majorBidi" w:hAnsiTheme="majorBidi" w:cstheme="majorBidi"/>
          <w:spacing w:val="1"/>
          <w:sz w:val="22"/>
          <w:szCs w:val="22"/>
        </w:rPr>
        <w:t xml:space="preserve"> Rechenschaft über den Stand der Gleichstellung im Zeitraum vom Wintersemester </w:t>
      </w:r>
      <w:r w:rsidR="001F3B9C" w:rsidRPr="00252459">
        <w:rPr>
          <w:rFonts w:asciiTheme="majorBidi" w:hAnsiTheme="majorBidi" w:cstheme="majorBidi"/>
          <w:spacing w:val="1"/>
          <w:sz w:val="22"/>
          <w:szCs w:val="22"/>
        </w:rPr>
        <w:t xml:space="preserve">2022/2023 </w:t>
      </w:r>
      <w:r w:rsidRPr="00252459">
        <w:rPr>
          <w:rFonts w:asciiTheme="majorBidi" w:hAnsiTheme="majorBidi" w:cstheme="majorBidi"/>
          <w:spacing w:val="1"/>
          <w:sz w:val="22"/>
          <w:szCs w:val="22"/>
        </w:rPr>
        <w:t xml:space="preserve">bis zum </w:t>
      </w:r>
      <w:r w:rsidR="00D02D19" w:rsidRPr="00252459">
        <w:rPr>
          <w:rFonts w:asciiTheme="majorBidi" w:hAnsiTheme="majorBidi" w:cstheme="majorBidi"/>
          <w:spacing w:val="1"/>
          <w:sz w:val="22"/>
          <w:szCs w:val="22"/>
        </w:rPr>
        <w:t>Sommersemester 2024</w:t>
      </w:r>
      <w:r w:rsidR="001F3B9C" w:rsidRPr="00252459">
        <w:rPr>
          <w:rFonts w:asciiTheme="majorBidi" w:hAnsiTheme="majorBidi" w:cstheme="majorBidi"/>
          <w:spacing w:val="1"/>
          <w:sz w:val="22"/>
          <w:szCs w:val="22"/>
        </w:rPr>
        <w:t xml:space="preserve"> </w:t>
      </w:r>
      <w:r w:rsidRPr="00252459">
        <w:rPr>
          <w:rFonts w:asciiTheme="majorBidi" w:hAnsiTheme="majorBidi" w:cstheme="majorBidi"/>
          <w:spacing w:val="1"/>
          <w:sz w:val="22"/>
          <w:szCs w:val="22"/>
        </w:rPr>
        <w:t>in Bezug auf das Gleich</w:t>
      </w:r>
      <w:r w:rsidRPr="00252459">
        <w:rPr>
          <w:rFonts w:asciiTheme="majorBidi" w:hAnsiTheme="majorBidi" w:cstheme="majorBidi"/>
          <w:spacing w:val="1"/>
          <w:sz w:val="22"/>
          <w:szCs w:val="22"/>
        </w:rPr>
        <w:softHyphen/>
        <w:t xml:space="preserve">stellungskonzept vom </w:t>
      </w:r>
      <w:r w:rsidR="001F3B9C" w:rsidRPr="00252459">
        <w:rPr>
          <w:rFonts w:asciiTheme="majorBidi" w:hAnsiTheme="majorBidi" w:cstheme="majorBidi"/>
          <w:spacing w:val="1"/>
          <w:sz w:val="22"/>
          <w:szCs w:val="22"/>
        </w:rPr>
        <w:t>13. Juli 2022</w:t>
      </w:r>
      <w:r w:rsidRPr="00252459">
        <w:rPr>
          <w:rFonts w:asciiTheme="majorBidi" w:hAnsiTheme="majorBidi" w:cstheme="majorBidi"/>
          <w:spacing w:val="1"/>
          <w:sz w:val="22"/>
          <w:szCs w:val="22"/>
        </w:rPr>
        <w:t xml:space="preserve"> und formuliert ihre Ziele für die weitere Gleichstellungsarbeit. </w:t>
      </w:r>
      <w:r w:rsidRPr="00252459">
        <w:rPr>
          <w:rFonts w:asciiTheme="majorBidi" w:hAnsiTheme="majorBidi" w:cstheme="majorBidi"/>
          <w:sz w:val="22"/>
          <w:szCs w:val="22"/>
        </w:rPr>
        <w:t>Entsprechend de</w:t>
      </w:r>
      <w:r w:rsidR="003F5673" w:rsidRPr="00252459">
        <w:rPr>
          <w:rFonts w:asciiTheme="majorBidi" w:hAnsiTheme="majorBidi" w:cstheme="majorBidi"/>
          <w:sz w:val="22"/>
          <w:szCs w:val="22"/>
        </w:rPr>
        <w:t>m</w:t>
      </w:r>
      <w:r w:rsidRPr="00252459">
        <w:rPr>
          <w:rFonts w:asciiTheme="majorBidi" w:hAnsiTheme="majorBidi" w:cstheme="majorBidi"/>
          <w:sz w:val="22"/>
          <w:szCs w:val="22"/>
        </w:rPr>
        <w:t xml:space="preserve"> Ursprung der Gleichstellung in der Förderung von als Frauen gelesenen Personen werden nur diesbezüglich statistische Daten </w:t>
      </w:r>
      <w:r w:rsidR="003F5673" w:rsidRPr="00252459">
        <w:rPr>
          <w:rFonts w:asciiTheme="majorBidi" w:hAnsiTheme="majorBidi" w:cstheme="majorBidi"/>
          <w:sz w:val="22"/>
          <w:szCs w:val="22"/>
        </w:rPr>
        <w:t xml:space="preserve">und damit Entwicklungen </w:t>
      </w:r>
      <w:r w:rsidRPr="00252459">
        <w:rPr>
          <w:rFonts w:asciiTheme="majorBidi" w:hAnsiTheme="majorBidi" w:cstheme="majorBidi"/>
          <w:sz w:val="22"/>
          <w:szCs w:val="22"/>
        </w:rPr>
        <w:t>erfasst (s.u. 3.).</w:t>
      </w:r>
    </w:p>
    <w:p w14:paraId="67B75615" w14:textId="77777777" w:rsidR="00AC70F1" w:rsidRPr="00252459" w:rsidRDefault="00AC70F1" w:rsidP="00AC70F1">
      <w:pPr>
        <w:pStyle w:val="Textkrper"/>
        <w:spacing w:line="276" w:lineRule="auto"/>
        <w:jc w:val="both"/>
        <w:rPr>
          <w:rFonts w:asciiTheme="majorBidi" w:hAnsiTheme="majorBidi" w:cstheme="majorBidi"/>
          <w:sz w:val="22"/>
          <w:szCs w:val="22"/>
        </w:rPr>
      </w:pPr>
    </w:p>
    <w:p w14:paraId="7F6E4C4D" w14:textId="77777777" w:rsidR="00AC70F1" w:rsidRPr="00252459" w:rsidRDefault="00AC70F1" w:rsidP="00AC70F1">
      <w:pPr>
        <w:pStyle w:val="berschrift1"/>
        <w:numPr>
          <w:ilvl w:val="0"/>
          <w:numId w:val="0"/>
        </w:numPr>
        <w:spacing w:before="0"/>
        <w:jc w:val="both"/>
        <w:rPr>
          <w:rFonts w:asciiTheme="majorBidi" w:hAnsiTheme="majorBidi"/>
          <w:sz w:val="22"/>
          <w:szCs w:val="22"/>
        </w:rPr>
      </w:pPr>
      <w:r w:rsidRPr="00252459">
        <w:rPr>
          <w:rFonts w:asciiTheme="majorBidi" w:hAnsiTheme="majorBidi"/>
          <w:sz w:val="22"/>
          <w:szCs w:val="22"/>
        </w:rPr>
        <w:t>1. Institutionen der Fakultät zur Förderung der Gleichstellung und ihre Arbeit im Berichts</w:t>
      </w:r>
      <w:r w:rsidRPr="00252459">
        <w:rPr>
          <w:rFonts w:asciiTheme="majorBidi" w:hAnsiTheme="majorBidi"/>
          <w:sz w:val="22"/>
          <w:szCs w:val="22"/>
        </w:rPr>
        <w:softHyphen/>
        <w:t>zeitraum</w:t>
      </w:r>
    </w:p>
    <w:p w14:paraId="2D79A7FE" w14:textId="77777777" w:rsidR="002A4A3D" w:rsidRPr="00252459" w:rsidRDefault="002A4A3D" w:rsidP="002A4A3D"/>
    <w:p w14:paraId="45721CA9" w14:textId="4046E72D" w:rsidR="00AC70F1" w:rsidRPr="00252459" w:rsidRDefault="00AC70F1" w:rsidP="00484D4B">
      <w:pPr>
        <w:pStyle w:val="Textkrper"/>
        <w:spacing w:line="276" w:lineRule="auto"/>
        <w:jc w:val="both"/>
        <w:rPr>
          <w:rFonts w:asciiTheme="majorBidi" w:hAnsiTheme="majorBidi" w:cstheme="majorBidi"/>
          <w:b/>
          <w:bCs/>
          <w:sz w:val="22"/>
          <w:szCs w:val="22"/>
        </w:rPr>
      </w:pPr>
      <w:r w:rsidRPr="00252459">
        <w:rPr>
          <w:rFonts w:asciiTheme="majorBidi" w:hAnsiTheme="majorBidi" w:cstheme="majorBidi"/>
          <w:b/>
          <w:bCs/>
          <w:sz w:val="22"/>
          <w:szCs w:val="22"/>
        </w:rPr>
        <w:t xml:space="preserve">1.1 </w:t>
      </w:r>
      <w:r w:rsidR="009F2BD2" w:rsidRPr="00252459">
        <w:rPr>
          <w:rFonts w:asciiTheme="majorBidi" w:hAnsiTheme="majorBidi" w:cstheme="majorBidi"/>
          <w:b/>
          <w:bCs/>
          <w:sz w:val="22"/>
          <w:szCs w:val="22"/>
        </w:rPr>
        <w:t xml:space="preserve">Dezentrale </w:t>
      </w:r>
      <w:r w:rsidRPr="00252459">
        <w:rPr>
          <w:rFonts w:asciiTheme="majorBidi" w:hAnsiTheme="majorBidi" w:cstheme="majorBidi"/>
          <w:b/>
          <w:bCs/>
          <w:sz w:val="22"/>
          <w:szCs w:val="22"/>
        </w:rPr>
        <w:t>Frauen</w:t>
      </w:r>
      <w:r w:rsidR="009F2BD2" w:rsidRPr="00252459">
        <w:rPr>
          <w:rFonts w:asciiTheme="majorBidi" w:hAnsiTheme="majorBidi" w:cstheme="majorBidi"/>
          <w:b/>
          <w:bCs/>
          <w:sz w:val="22"/>
          <w:szCs w:val="22"/>
        </w:rPr>
        <w:t>- und Gleichstellungsb</w:t>
      </w:r>
      <w:r w:rsidRPr="00252459">
        <w:rPr>
          <w:rFonts w:asciiTheme="majorBidi" w:hAnsiTheme="majorBidi" w:cstheme="majorBidi"/>
          <w:b/>
          <w:bCs/>
          <w:sz w:val="22"/>
          <w:szCs w:val="22"/>
        </w:rPr>
        <w:t xml:space="preserve">eauftrage </w:t>
      </w:r>
    </w:p>
    <w:p w14:paraId="45C24E72" w14:textId="7B202CD3" w:rsidR="00AC70F1" w:rsidRPr="00252459" w:rsidRDefault="00AC70F1" w:rsidP="00C80584">
      <w:pPr>
        <w:spacing w:line="276" w:lineRule="auto"/>
        <w:jc w:val="both"/>
        <w:rPr>
          <w:rFonts w:asciiTheme="majorBidi" w:hAnsiTheme="majorBidi" w:cstheme="majorBidi"/>
        </w:rPr>
      </w:pPr>
      <w:r w:rsidRPr="00252459">
        <w:rPr>
          <w:rFonts w:asciiTheme="majorBidi" w:hAnsiTheme="majorBidi" w:cstheme="majorBidi"/>
        </w:rPr>
        <w:t xml:space="preserve">Im Berichtserstattungszeitraum fand die </w:t>
      </w:r>
      <w:r w:rsidR="00D77047" w:rsidRPr="00252459">
        <w:rPr>
          <w:rFonts w:asciiTheme="majorBidi" w:hAnsiTheme="majorBidi" w:cstheme="majorBidi"/>
        </w:rPr>
        <w:t>W</w:t>
      </w:r>
      <w:r w:rsidRPr="00252459">
        <w:rPr>
          <w:rFonts w:asciiTheme="majorBidi" w:hAnsiTheme="majorBidi" w:cstheme="majorBidi"/>
        </w:rPr>
        <w:t>ahl der dezentralen Frauen</w:t>
      </w:r>
      <w:r w:rsidR="001F3B9C" w:rsidRPr="00252459">
        <w:rPr>
          <w:rFonts w:asciiTheme="majorBidi" w:hAnsiTheme="majorBidi" w:cstheme="majorBidi"/>
        </w:rPr>
        <w:t xml:space="preserve">- und </w:t>
      </w:r>
      <w:r w:rsidR="00D02D19" w:rsidRPr="00252459">
        <w:rPr>
          <w:rFonts w:asciiTheme="majorBidi" w:hAnsiTheme="majorBidi" w:cstheme="majorBidi"/>
        </w:rPr>
        <w:t>Gleichstellungsbeauftragten der</w:t>
      </w:r>
      <w:r w:rsidRPr="00252459">
        <w:rPr>
          <w:rFonts w:asciiTheme="majorBidi" w:hAnsiTheme="majorBidi" w:cstheme="majorBidi"/>
        </w:rPr>
        <w:t xml:space="preserve"> Theologischen Fakultät statt</w:t>
      </w:r>
      <w:r w:rsidR="00D77047" w:rsidRPr="00252459">
        <w:rPr>
          <w:rFonts w:asciiTheme="majorBidi" w:hAnsiTheme="majorBidi" w:cstheme="majorBidi"/>
        </w:rPr>
        <w:t xml:space="preserve">. Die </w:t>
      </w:r>
      <w:r w:rsidR="001F3B9C" w:rsidRPr="00252459">
        <w:rPr>
          <w:rFonts w:asciiTheme="majorBidi" w:hAnsiTheme="majorBidi" w:cstheme="majorBidi"/>
        </w:rPr>
        <w:t xml:space="preserve">Amtsinhaberin </w:t>
      </w:r>
      <w:r w:rsidR="00D77047" w:rsidRPr="00252459">
        <w:rPr>
          <w:rFonts w:asciiTheme="majorBidi" w:hAnsiTheme="majorBidi" w:cstheme="majorBidi"/>
        </w:rPr>
        <w:t>wurde in</w:t>
      </w:r>
      <w:r w:rsidR="00BD1CF9" w:rsidRPr="00252459">
        <w:rPr>
          <w:rFonts w:asciiTheme="majorBidi" w:hAnsiTheme="majorBidi" w:cstheme="majorBidi"/>
        </w:rPr>
        <w:t xml:space="preserve"> der</w:t>
      </w:r>
      <w:r w:rsidR="00D77047" w:rsidRPr="00252459">
        <w:rPr>
          <w:rFonts w:asciiTheme="majorBidi" w:hAnsiTheme="majorBidi" w:cstheme="majorBidi"/>
        </w:rPr>
        <w:t xml:space="preserve"> Wahl </w:t>
      </w:r>
      <w:r w:rsidR="001F3B9C" w:rsidRPr="00252459">
        <w:rPr>
          <w:rFonts w:asciiTheme="majorBidi" w:hAnsiTheme="majorBidi" w:cstheme="majorBidi"/>
        </w:rPr>
        <w:t>bestätigt</w:t>
      </w:r>
      <w:r w:rsidRPr="00252459">
        <w:rPr>
          <w:rFonts w:asciiTheme="majorBidi" w:hAnsiTheme="majorBidi" w:cstheme="majorBidi"/>
        </w:rPr>
        <w:t xml:space="preserve">. </w:t>
      </w:r>
      <w:r w:rsidR="001F3B9C" w:rsidRPr="00252459">
        <w:rPr>
          <w:rFonts w:asciiTheme="majorBidi" w:hAnsiTheme="majorBidi" w:cstheme="majorBidi"/>
        </w:rPr>
        <w:t>In einer weiteren Wahl zu</w:t>
      </w:r>
      <w:r w:rsidR="0034513F" w:rsidRPr="00252459">
        <w:rPr>
          <w:rFonts w:asciiTheme="majorBidi" w:hAnsiTheme="majorBidi" w:cstheme="majorBidi"/>
        </w:rPr>
        <w:t xml:space="preserve"> eine</w:t>
      </w:r>
      <w:r w:rsidR="001F3B9C" w:rsidRPr="00252459">
        <w:rPr>
          <w:rFonts w:asciiTheme="majorBidi" w:hAnsiTheme="majorBidi" w:cstheme="majorBidi"/>
        </w:rPr>
        <w:t>m späteren Zeitpunkt wurde zudem nach zweijähriger Vakanz eine stellvertretende dezentrale Frauen- und Gleichstellungsbeauftragte gewählt. Die</w:t>
      </w:r>
      <w:r w:rsidR="00D77047" w:rsidRPr="00252459">
        <w:rPr>
          <w:rFonts w:asciiTheme="majorBidi" w:hAnsiTheme="majorBidi" w:cstheme="majorBidi"/>
        </w:rPr>
        <w:t xml:space="preserve"> Gewählte wurde </w:t>
      </w:r>
      <w:r w:rsidR="00765259" w:rsidRPr="00252459">
        <w:rPr>
          <w:rFonts w:asciiTheme="majorBidi" w:hAnsiTheme="majorBidi" w:cstheme="majorBidi"/>
        </w:rPr>
        <w:t xml:space="preserve">in diesem Amt </w:t>
      </w:r>
      <w:r w:rsidRPr="00252459">
        <w:rPr>
          <w:rFonts w:asciiTheme="majorBidi" w:hAnsiTheme="majorBidi" w:cstheme="majorBidi"/>
        </w:rPr>
        <w:t xml:space="preserve">durch die Präsidentin der Humboldt-Universität zu Berlin für </w:t>
      </w:r>
      <w:r w:rsidR="00D77047" w:rsidRPr="00252459">
        <w:rPr>
          <w:rFonts w:asciiTheme="majorBidi" w:hAnsiTheme="majorBidi" w:cstheme="majorBidi"/>
        </w:rPr>
        <w:t xml:space="preserve">eine zweijährige Amtszeit ab </w:t>
      </w:r>
      <w:r w:rsidR="002A4A3D" w:rsidRPr="00252459">
        <w:rPr>
          <w:rFonts w:asciiTheme="majorBidi" w:hAnsiTheme="majorBidi" w:cstheme="majorBidi"/>
        </w:rPr>
        <w:t xml:space="preserve">31.01.2023 </w:t>
      </w:r>
      <w:r w:rsidRPr="00252459">
        <w:rPr>
          <w:rFonts w:asciiTheme="majorBidi" w:hAnsiTheme="majorBidi" w:cstheme="majorBidi"/>
        </w:rPr>
        <w:t xml:space="preserve">gemäß § 59 </w:t>
      </w:r>
      <w:proofErr w:type="spellStart"/>
      <w:r w:rsidRPr="00252459">
        <w:rPr>
          <w:rFonts w:asciiTheme="majorBidi" w:hAnsiTheme="majorBidi" w:cstheme="majorBidi"/>
        </w:rPr>
        <w:t>BerIHG</w:t>
      </w:r>
      <w:proofErr w:type="spellEnd"/>
      <w:r w:rsidRPr="00252459">
        <w:rPr>
          <w:rFonts w:asciiTheme="majorBidi" w:hAnsiTheme="majorBidi" w:cstheme="majorBidi"/>
        </w:rPr>
        <w:t xml:space="preserve"> </w:t>
      </w:r>
      <w:r w:rsidR="001F3B9C" w:rsidRPr="00252459">
        <w:rPr>
          <w:rFonts w:asciiTheme="majorBidi" w:hAnsiTheme="majorBidi" w:cstheme="majorBidi"/>
        </w:rPr>
        <w:t>bestellt.</w:t>
      </w:r>
      <w:r w:rsidRPr="00252459">
        <w:rPr>
          <w:rFonts w:asciiTheme="majorBidi" w:hAnsiTheme="majorBidi" w:cstheme="majorBidi"/>
        </w:rPr>
        <w:t xml:space="preserve"> Die Frauen</w:t>
      </w:r>
      <w:r w:rsidR="001F3B9C" w:rsidRPr="00252459">
        <w:rPr>
          <w:rFonts w:asciiTheme="majorBidi" w:hAnsiTheme="majorBidi" w:cstheme="majorBidi"/>
        </w:rPr>
        <w:t>- und Gleichstellungsbeauftragten der Theologischen Fakultät verstehen</w:t>
      </w:r>
      <w:r w:rsidRPr="00252459">
        <w:rPr>
          <w:rFonts w:asciiTheme="majorBidi" w:hAnsiTheme="majorBidi" w:cstheme="majorBidi"/>
        </w:rPr>
        <w:t xml:space="preserve"> ihre Arbeit gemäß der verfassungsrechtlich gebotenen Gleichstellung von Frauen und Männern und der Chancengleichheit der Geschlechter (§ 5c </w:t>
      </w:r>
      <w:proofErr w:type="spellStart"/>
      <w:r w:rsidRPr="00252459">
        <w:rPr>
          <w:rFonts w:asciiTheme="majorBidi" w:hAnsiTheme="majorBidi" w:cstheme="majorBidi"/>
        </w:rPr>
        <w:t>BerlHG</w:t>
      </w:r>
      <w:proofErr w:type="spellEnd"/>
      <w:r w:rsidRPr="00252459">
        <w:rPr>
          <w:rFonts w:asciiTheme="majorBidi" w:hAnsiTheme="majorBidi" w:cstheme="majorBidi"/>
        </w:rPr>
        <w:t xml:space="preserve">). </w:t>
      </w:r>
    </w:p>
    <w:p w14:paraId="4A483717" w14:textId="049649FC" w:rsidR="00AC70F1" w:rsidRPr="00252459" w:rsidRDefault="00AC70F1" w:rsidP="00C80584">
      <w:pPr>
        <w:spacing w:line="276" w:lineRule="auto"/>
        <w:jc w:val="both"/>
        <w:rPr>
          <w:rFonts w:asciiTheme="majorBidi" w:hAnsiTheme="majorBidi" w:cstheme="majorBidi"/>
        </w:rPr>
      </w:pPr>
      <w:r w:rsidRPr="00252459">
        <w:rPr>
          <w:rFonts w:asciiTheme="majorBidi" w:hAnsiTheme="majorBidi" w:cstheme="majorBidi"/>
        </w:rPr>
        <w:t>De</w:t>
      </w:r>
      <w:r w:rsidR="001F3B9C" w:rsidRPr="00252459">
        <w:rPr>
          <w:rFonts w:asciiTheme="majorBidi" w:hAnsiTheme="majorBidi" w:cstheme="majorBidi"/>
        </w:rPr>
        <w:t>n</w:t>
      </w:r>
      <w:r w:rsidR="00D77047" w:rsidRPr="00252459">
        <w:rPr>
          <w:rFonts w:asciiTheme="majorBidi" w:hAnsiTheme="majorBidi" w:cstheme="majorBidi"/>
        </w:rPr>
        <w:t xml:space="preserve"> </w:t>
      </w:r>
      <w:r w:rsidR="001F3B9C" w:rsidRPr="00252459">
        <w:rPr>
          <w:rFonts w:asciiTheme="majorBidi" w:hAnsiTheme="majorBidi" w:cstheme="majorBidi"/>
        </w:rPr>
        <w:t xml:space="preserve">Amtsinhaberinnen </w:t>
      </w:r>
      <w:r w:rsidRPr="00252459">
        <w:rPr>
          <w:rFonts w:asciiTheme="majorBidi" w:hAnsiTheme="majorBidi" w:cstheme="majorBidi"/>
        </w:rPr>
        <w:t>steht weiterhin ein eigenes Beratungszimmer zur Verfügung</w:t>
      </w:r>
      <w:r w:rsidR="001F3B9C" w:rsidRPr="00252459">
        <w:rPr>
          <w:rFonts w:asciiTheme="majorBidi" w:hAnsiTheme="majorBidi" w:cstheme="majorBidi"/>
        </w:rPr>
        <w:t>, in</w:t>
      </w:r>
      <w:r w:rsidR="00C80584" w:rsidRPr="00252459">
        <w:rPr>
          <w:rFonts w:asciiTheme="majorBidi" w:hAnsiTheme="majorBidi" w:cstheme="majorBidi"/>
        </w:rPr>
        <w:t xml:space="preserve"> </w:t>
      </w:r>
      <w:r w:rsidR="001F3B9C" w:rsidRPr="00252459">
        <w:rPr>
          <w:rFonts w:asciiTheme="majorBidi" w:hAnsiTheme="majorBidi" w:cstheme="majorBidi"/>
        </w:rPr>
        <w:t>dem sie auf Anfrage Beratungsgespräche durchführen.</w:t>
      </w:r>
      <w:r w:rsidRPr="00252459">
        <w:rPr>
          <w:rFonts w:asciiTheme="majorBidi" w:hAnsiTheme="majorBidi" w:cstheme="majorBidi"/>
        </w:rPr>
        <w:t xml:space="preserve"> Als Frauen</w:t>
      </w:r>
      <w:r w:rsidR="001F3B9C" w:rsidRPr="00252459">
        <w:rPr>
          <w:rFonts w:asciiTheme="majorBidi" w:hAnsiTheme="majorBidi" w:cstheme="majorBidi"/>
        </w:rPr>
        <w:t xml:space="preserve">- und </w:t>
      </w:r>
      <w:r w:rsidR="00D02D19" w:rsidRPr="00252459">
        <w:rPr>
          <w:rFonts w:asciiTheme="majorBidi" w:hAnsiTheme="majorBidi" w:cstheme="majorBidi"/>
        </w:rPr>
        <w:t>Gleichstellungsbeauftragte sind sie</w:t>
      </w:r>
      <w:r w:rsidRPr="00252459">
        <w:rPr>
          <w:rFonts w:asciiTheme="majorBidi" w:hAnsiTheme="majorBidi" w:cstheme="majorBidi"/>
        </w:rPr>
        <w:t xml:space="preserve"> berechtigt, an allen Sitzungen innerhalb der Theologischen Fakultät teilzunehmen. Die Theologische Fakultät entspricht dem, indem sie die </w:t>
      </w:r>
      <w:r w:rsidR="001F3B9C" w:rsidRPr="00252459">
        <w:rPr>
          <w:rFonts w:asciiTheme="majorBidi" w:hAnsiTheme="majorBidi" w:cstheme="majorBidi"/>
        </w:rPr>
        <w:t xml:space="preserve">Frauen- und Gleichstellungsbeauftragten </w:t>
      </w:r>
      <w:r w:rsidRPr="00252459">
        <w:rPr>
          <w:rFonts w:asciiTheme="majorBidi" w:hAnsiTheme="majorBidi" w:cstheme="majorBidi"/>
        </w:rPr>
        <w:t>in alle Prozesse ein</w:t>
      </w:r>
      <w:r w:rsidR="007B3402" w:rsidRPr="00252459">
        <w:rPr>
          <w:rFonts w:asciiTheme="majorBidi" w:hAnsiTheme="majorBidi" w:cstheme="majorBidi"/>
        </w:rPr>
        <w:softHyphen/>
      </w:r>
      <w:r w:rsidRPr="00252459">
        <w:rPr>
          <w:rFonts w:asciiTheme="majorBidi" w:hAnsiTheme="majorBidi" w:cstheme="majorBidi"/>
        </w:rPr>
        <w:t xml:space="preserve">bezieht. </w:t>
      </w:r>
      <w:r w:rsidR="001F3B9C" w:rsidRPr="00252459">
        <w:rPr>
          <w:rFonts w:asciiTheme="majorBidi" w:hAnsiTheme="majorBidi" w:cstheme="majorBidi"/>
        </w:rPr>
        <w:t xml:space="preserve">Sie </w:t>
      </w:r>
      <w:r w:rsidRPr="00252459">
        <w:rPr>
          <w:rFonts w:asciiTheme="majorBidi" w:hAnsiTheme="majorBidi" w:cstheme="majorBidi"/>
        </w:rPr>
        <w:t>arbeite</w:t>
      </w:r>
      <w:r w:rsidR="00C80584" w:rsidRPr="00252459">
        <w:rPr>
          <w:rFonts w:asciiTheme="majorBidi" w:hAnsiTheme="majorBidi" w:cstheme="majorBidi"/>
        </w:rPr>
        <w:t>n</w:t>
      </w:r>
      <w:r w:rsidRPr="00252459">
        <w:rPr>
          <w:rFonts w:asciiTheme="majorBidi" w:hAnsiTheme="majorBidi" w:cstheme="majorBidi"/>
        </w:rPr>
        <w:t xml:space="preserve"> aktiv in Gremien, im Fakultätsrat sowie bei Einstellungsverfahren mit und steh</w:t>
      </w:r>
      <w:r w:rsidR="001F3B9C" w:rsidRPr="00252459">
        <w:rPr>
          <w:rFonts w:asciiTheme="majorBidi" w:hAnsiTheme="majorBidi" w:cstheme="majorBidi"/>
        </w:rPr>
        <w:t>en</w:t>
      </w:r>
      <w:r w:rsidRPr="00252459">
        <w:rPr>
          <w:rFonts w:asciiTheme="majorBidi" w:hAnsiTheme="majorBidi" w:cstheme="majorBidi"/>
        </w:rPr>
        <w:t xml:space="preserve"> in regem Austausch mit allen Statusgruppen des Hauses. Darüber hinaus n</w:t>
      </w:r>
      <w:r w:rsidR="001F3B9C" w:rsidRPr="00252459">
        <w:rPr>
          <w:rFonts w:asciiTheme="majorBidi" w:hAnsiTheme="majorBidi" w:cstheme="majorBidi"/>
        </w:rPr>
        <w:t>ehmen</w:t>
      </w:r>
      <w:r w:rsidRPr="00252459">
        <w:rPr>
          <w:rFonts w:asciiTheme="majorBidi" w:hAnsiTheme="majorBidi" w:cstheme="majorBidi"/>
        </w:rPr>
        <w:t xml:space="preserve"> die Frauen</w:t>
      </w:r>
      <w:r w:rsidR="001F3B9C" w:rsidRPr="00252459">
        <w:rPr>
          <w:rFonts w:asciiTheme="majorBidi" w:hAnsiTheme="majorBidi" w:cstheme="majorBidi"/>
        </w:rPr>
        <w:t>- und Gleich</w:t>
      </w:r>
      <w:r w:rsidR="007B3402" w:rsidRPr="00252459">
        <w:rPr>
          <w:rFonts w:asciiTheme="majorBidi" w:hAnsiTheme="majorBidi" w:cstheme="majorBidi"/>
        </w:rPr>
        <w:softHyphen/>
      </w:r>
      <w:r w:rsidR="001F3B9C" w:rsidRPr="00252459">
        <w:rPr>
          <w:rFonts w:asciiTheme="majorBidi" w:hAnsiTheme="majorBidi" w:cstheme="majorBidi"/>
        </w:rPr>
        <w:t xml:space="preserve">stellungsbeauftragten auf </w:t>
      </w:r>
      <w:r w:rsidR="00D02D19" w:rsidRPr="00252459">
        <w:rPr>
          <w:rFonts w:asciiTheme="majorBidi" w:hAnsiTheme="majorBidi" w:cstheme="majorBidi"/>
        </w:rPr>
        <w:t>Anfrage an</w:t>
      </w:r>
      <w:r w:rsidRPr="00252459">
        <w:rPr>
          <w:rFonts w:asciiTheme="majorBidi" w:hAnsiTheme="majorBidi" w:cstheme="majorBidi"/>
        </w:rPr>
        <w:t xml:space="preserve"> den Sitzungen des Studierendenrates und an den Studierendenvollversammlungen teil</w:t>
      </w:r>
      <w:r w:rsidR="001348DE" w:rsidRPr="00252459">
        <w:rPr>
          <w:rFonts w:asciiTheme="majorBidi" w:hAnsiTheme="majorBidi" w:cstheme="majorBidi"/>
        </w:rPr>
        <w:t xml:space="preserve"> und informieren jeweils zu Semesterbeginn neue Studierende über ihre Arbeit.</w:t>
      </w:r>
      <w:r w:rsidRPr="00252459">
        <w:rPr>
          <w:rFonts w:asciiTheme="majorBidi" w:hAnsiTheme="majorBidi" w:cstheme="majorBidi"/>
        </w:rPr>
        <w:t xml:space="preserve"> </w:t>
      </w:r>
    </w:p>
    <w:p w14:paraId="2F420BE7" w14:textId="493A7C3C" w:rsidR="009169F3" w:rsidRPr="00252459" w:rsidRDefault="00AC70F1" w:rsidP="00DA09BE">
      <w:pPr>
        <w:pStyle w:val="Textkrper"/>
        <w:spacing w:line="276" w:lineRule="auto"/>
        <w:jc w:val="both"/>
        <w:rPr>
          <w:sz w:val="22"/>
          <w:szCs w:val="22"/>
        </w:rPr>
      </w:pPr>
      <w:r w:rsidRPr="00252459">
        <w:rPr>
          <w:rFonts w:asciiTheme="majorBidi" w:hAnsiTheme="majorBidi" w:cstheme="majorBidi"/>
          <w:sz w:val="22"/>
          <w:szCs w:val="22"/>
        </w:rPr>
        <w:lastRenderedPageBreak/>
        <w:t xml:space="preserve">Der Kontakt zu den dezentralen </w:t>
      </w:r>
      <w:r w:rsidR="001F3B9C" w:rsidRPr="00252459">
        <w:rPr>
          <w:rFonts w:asciiTheme="majorBidi" w:hAnsiTheme="majorBidi" w:cstheme="majorBidi"/>
          <w:sz w:val="22"/>
          <w:szCs w:val="22"/>
        </w:rPr>
        <w:t xml:space="preserve">Frauen- und Gleichstellungsbeauftragten </w:t>
      </w:r>
      <w:r w:rsidRPr="00252459">
        <w:rPr>
          <w:rFonts w:asciiTheme="majorBidi" w:hAnsiTheme="majorBidi" w:cstheme="majorBidi"/>
          <w:sz w:val="22"/>
          <w:szCs w:val="22"/>
        </w:rPr>
        <w:t xml:space="preserve">der weiteren </w:t>
      </w:r>
      <w:r w:rsidR="00115300" w:rsidRPr="00252459">
        <w:rPr>
          <w:rFonts w:asciiTheme="majorBidi" w:hAnsiTheme="majorBidi" w:cstheme="majorBidi"/>
          <w:sz w:val="22"/>
          <w:szCs w:val="22"/>
        </w:rPr>
        <w:t>t</w:t>
      </w:r>
      <w:r w:rsidRPr="00252459">
        <w:rPr>
          <w:rFonts w:asciiTheme="majorBidi" w:hAnsiTheme="majorBidi" w:cstheme="majorBidi"/>
          <w:sz w:val="22"/>
          <w:szCs w:val="22"/>
        </w:rPr>
        <w:t>heologischen Einrichtungen</w:t>
      </w:r>
      <w:r w:rsidR="00DA09BE" w:rsidRPr="00252459">
        <w:rPr>
          <w:rFonts w:asciiTheme="majorBidi" w:hAnsiTheme="majorBidi" w:cstheme="majorBidi"/>
          <w:sz w:val="22"/>
          <w:szCs w:val="22"/>
        </w:rPr>
        <w:t xml:space="preserve">, </w:t>
      </w:r>
      <w:r w:rsidR="00A40ED5" w:rsidRPr="00252459">
        <w:rPr>
          <w:rFonts w:asciiTheme="majorBidi" w:hAnsiTheme="majorBidi" w:cstheme="majorBidi"/>
          <w:sz w:val="22"/>
          <w:szCs w:val="22"/>
        </w:rPr>
        <w:t>des</w:t>
      </w:r>
      <w:r w:rsidRPr="00252459">
        <w:rPr>
          <w:rFonts w:asciiTheme="majorBidi" w:hAnsiTheme="majorBidi" w:cstheme="majorBidi"/>
          <w:sz w:val="22"/>
          <w:szCs w:val="22"/>
        </w:rPr>
        <w:t xml:space="preserve"> Zentralinstitut</w:t>
      </w:r>
      <w:r w:rsidR="00A40ED5" w:rsidRPr="00252459">
        <w:rPr>
          <w:rFonts w:asciiTheme="majorBidi" w:hAnsiTheme="majorBidi" w:cstheme="majorBidi"/>
          <w:sz w:val="22"/>
          <w:szCs w:val="22"/>
        </w:rPr>
        <w:t>s</w:t>
      </w:r>
      <w:r w:rsidRPr="00252459">
        <w:rPr>
          <w:rFonts w:asciiTheme="majorBidi" w:hAnsiTheme="majorBidi" w:cstheme="majorBidi"/>
          <w:sz w:val="22"/>
          <w:szCs w:val="22"/>
        </w:rPr>
        <w:t xml:space="preserve"> für Katholische Theologie (IKT) und </w:t>
      </w:r>
      <w:r w:rsidR="00A40ED5" w:rsidRPr="00252459">
        <w:rPr>
          <w:rFonts w:asciiTheme="majorBidi" w:hAnsiTheme="majorBidi" w:cstheme="majorBidi"/>
          <w:sz w:val="22"/>
          <w:szCs w:val="22"/>
        </w:rPr>
        <w:t xml:space="preserve">des </w:t>
      </w:r>
      <w:r w:rsidRPr="00252459">
        <w:rPr>
          <w:rFonts w:asciiTheme="majorBidi" w:hAnsiTheme="majorBidi" w:cstheme="majorBidi"/>
          <w:sz w:val="22"/>
          <w:szCs w:val="22"/>
        </w:rPr>
        <w:t>Berliner Institut</w:t>
      </w:r>
      <w:r w:rsidR="00A40ED5" w:rsidRPr="00252459">
        <w:rPr>
          <w:rFonts w:asciiTheme="majorBidi" w:hAnsiTheme="majorBidi" w:cstheme="majorBidi"/>
          <w:sz w:val="22"/>
          <w:szCs w:val="22"/>
        </w:rPr>
        <w:t>s</w:t>
      </w:r>
      <w:r w:rsidRPr="00252459">
        <w:rPr>
          <w:rFonts w:asciiTheme="majorBidi" w:hAnsiTheme="majorBidi" w:cstheme="majorBidi"/>
          <w:sz w:val="22"/>
          <w:szCs w:val="22"/>
        </w:rPr>
        <w:t xml:space="preserve"> für Islamische Theologie (BIT)</w:t>
      </w:r>
      <w:r w:rsidR="00DA09BE" w:rsidRPr="00252459">
        <w:rPr>
          <w:rFonts w:asciiTheme="majorBidi" w:hAnsiTheme="majorBidi" w:cstheme="majorBidi"/>
          <w:sz w:val="22"/>
          <w:szCs w:val="22"/>
        </w:rPr>
        <w:t xml:space="preserve">, </w:t>
      </w:r>
      <w:r w:rsidRPr="00252459">
        <w:rPr>
          <w:rFonts w:asciiTheme="majorBidi" w:hAnsiTheme="majorBidi" w:cstheme="majorBidi"/>
          <w:sz w:val="22"/>
          <w:szCs w:val="22"/>
        </w:rPr>
        <w:t>konnte</w:t>
      </w:r>
      <w:r w:rsidR="00C80584" w:rsidRPr="00252459">
        <w:rPr>
          <w:rFonts w:asciiTheme="majorBidi" w:hAnsiTheme="majorBidi" w:cstheme="majorBidi"/>
          <w:sz w:val="22"/>
          <w:szCs w:val="22"/>
        </w:rPr>
        <w:t xml:space="preserve"> im Berichtszeitraum</w:t>
      </w:r>
      <w:r w:rsidR="001F3B9C" w:rsidRPr="00252459">
        <w:rPr>
          <w:rFonts w:asciiTheme="majorBidi" w:hAnsiTheme="majorBidi" w:cstheme="majorBidi"/>
          <w:sz w:val="22"/>
          <w:szCs w:val="22"/>
        </w:rPr>
        <w:t xml:space="preserve"> weiter</w:t>
      </w:r>
      <w:r w:rsidRPr="00252459">
        <w:rPr>
          <w:rFonts w:asciiTheme="majorBidi" w:hAnsiTheme="majorBidi" w:cstheme="majorBidi"/>
          <w:sz w:val="22"/>
          <w:szCs w:val="22"/>
        </w:rPr>
        <w:t xml:space="preserve"> intensiviert werden.</w:t>
      </w:r>
      <w:r w:rsidR="001F3B9C" w:rsidRPr="00252459">
        <w:rPr>
          <w:rFonts w:asciiTheme="majorBidi" w:hAnsiTheme="majorBidi" w:cstheme="majorBidi"/>
          <w:sz w:val="22"/>
          <w:szCs w:val="22"/>
        </w:rPr>
        <w:t xml:space="preserve"> In Zusammen</w:t>
      </w:r>
      <w:r w:rsidR="00A40ED5" w:rsidRPr="00252459">
        <w:rPr>
          <w:rFonts w:asciiTheme="majorBidi" w:hAnsiTheme="majorBidi" w:cstheme="majorBidi"/>
          <w:sz w:val="22"/>
          <w:szCs w:val="22"/>
        </w:rPr>
        <w:softHyphen/>
      </w:r>
      <w:r w:rsidR="001F3B9C" w:rsidRPr="00252459">
        <w:rPr>
          <w:rFonts w:asciiTheme="majorBidi" w:hAnsiTheme="majorBidi" w:cstheme="majorBidi"/>
          <w:sz w:val="22"/>
          <w:szCs w:val="22"/>
        </w:rPr>
        <w:t>arbeit mit den Frauen- und Gleichstellungsbeauftragten aller drei Theologische</w:t>
      </w:r>
      <w:r w:rsidR="00C80584" w:rsidRPr="00252459">
        <w:rPr>
          <w:rFonts w:asciiTheme="majorBidi" w:hAnsiTheme="majorBidi" w:cstheme="majorBidi"/>
          <w:sz w:val="22"/>
          <w:szCs w:val="22"/>
        </w:rPr>
        <w:t>n</w:t>
      </w:r>
      <w:r w:rsidR="001F3B9C" w:rsidRPr="00252459">
        <w:rPr>
          <w:rFonts w:asciiTheme="majorBidi" w:hAnsiTheme="majorBidi" w:cstheme="majorBidi"/>
          <w:sz w:val="22"/>
          <w:szCs w:val="22"/>
        </w:rPr>
        <w:t xml:space="preserve"> Einrichtungen fand am 29.05.2024 ein Workshop zum Thema Machtmissbrauch in der Wissenschaft unter dem Titel „Macht </w:t>
      </w:r>
      <w:proofErr w:type="spellStart"/>
      <w:r w:rsidR="001F3B9C" w:rsidRPr="00252459">
        <w:rPr>
          <w:rFonts w:asciiTheme="majorBidi" w:hAnsiTheme="majorBidi" w:cstheme="majorBidi"/>
          <w:sz w:val="22"/>
          <w:szCs w:val="22"/>
        </w:rPr>
        <w:t>macht</w:t>
      </w:r>
      <w:proofErr w:type="spellEnd"/>
      <w:r w:rsidR="001F3B9C" w:rsidRPr="00252459">
        <w:rPr>
          <w:rFonts w:asciiTheme="majorBidi" w:hAnsiTheme="majorBidi" w:cstheme="majorBidi"/>
          <w:sz w:val="22"/>
          <w:szCs w:val="22"/>
        </w:rPr>
        <w:t xml:space="preserve"> Wissenschaft“ statt. </w:t>
      </w:r>
      <w:r w:rsidR="001F3B9C" w:rsidRPr="00252459">
        <w:rPr>
          <w:sz w:val="22"/>
          <w:szCs w:val="22"/>
        </w:rPr>
        <w:t>Dieser richtete sich an die Mitarbeitenden aller Statusgruppen der Theologischen Einrichtungen</w:t>
      </w:r>
      <w:r w:rsidR="009169F3" w:rsidRPr="00252459">
        <w:rPr>
          <w:sz w:val="22"/>
          <w:szCs w:val="22"/>
        </w:rPr>
        <w:t xml:space="preserve">. </w:t>
      </w:r>
      <w:r w:rsidR="00F33F81" w:rsidRPr="00252459">
        <w:rPr>
          <w:sz w:val="22"/>
          <w:szCs w:val="22"/>
        </w:rPr>
        <w:t>D</w:t>
      </w:r>
      <w:r w:rsidR="009169F3" w:rsidRPr="00252459">
        <w:rPr>
          <w:sz w:val="22"/>
          <w:szCs w:val="22"/>
        </w:rPr>
        <w:t xml:space="preserve">er Workshop </w:t>
      </w:r>
      <w:r w:rsidR="00F33F81" w:rsidRPr="00252459">
        <w:rPr>
          <w:sz w:val="22"/>
          <w:szCs w:val="22"/>
        </w:rPr>
        <w:t xml:space="preserve">bot </w:t>
      </w:r>
      <w:r w:rsidR="009169F3" w:rsidRPr="00252459">
        <w:rPr>
          <w:sz w:val="22"/>
          <w:szCs w:val="22"/>
        </w:rPr>
        <w:t xml:space="preserve">den Teilnehmenden </w:t>
      </w:r>
      <w:r w:rsidR="00454899" w:rsidRPr="00252459">
        <w:rPr>
          <w:sz w:val="22"/>
          <w:szCs w:val="22"/>
        </w:rPr>
        <w:t>einen Raum</w:t>
      </w:r>
      <w:r w:rsidR="00F33F81" w:rsidRPr="00252459">
        <w:rPr>
          <w:sz w:val="22"/>
          <w:szCs w:val="22"/>
        </w:rPr>
        <w:t xml:space="preserve"> zur Auseinander</w:t>
      </w:r>
      <w:r w:rsidR="007B3402" w:rsidRPr="00252459">
        <w:rPr>
          <w:sz w:val="22"/>
          <w:szCs w:val="22"/>
        </w:rPr>
        <w:softHyphen/>
      </w:r>
      <w:r w:rsidR="00F33F81" w:rsidRPr="00252459">
        <w:rPr>
          <w:sz w:val="22"/>
          <w:szCs w:val="22"/>
        </w:rPr>
        <w:t>setzung</w:t>
      </w:r>
      <w:r w:rsidR="007B59F6" w:rsidRPr="00252459">
        <w:rPr>
          <w:sz w:val="22"/>
          <w:szCs w:val="22"/>
        </w:rPr>
        <w:t xml:space="preserve"> </w:t>
      </w:r>
      <w:r w:rsidR="009169F3" w:rsidRPr="00252459">
        <w:rPr>
          <w:sz w:val="22"/>
          <w:szCs w:val="22"/>
        </w:rPr>
        <w:t>mit vielfältigen Erscheinungsformen von Machtmissbrauch sowie den strukturellen Besonder</w:t>
      </w:r>
      <w:r w:rsidR="007B3402" w:rsidRPr="00252459">
        <w:rPr>
          <w:sz w:val="22"/>
          <w:szCs w:val="22"/>
        </w:rPr>
        <w:softHyphen/>
      </w:r>
      <w:r w:rsidR="009169F3" w:rsidRPr="00252459">
        <w:rPr>
          <w:sz w:val="22"/>
          <w:szCs w:val="22"/>
        </w:rPr>
        <w:t>heiten des Wissenschaftssystems. </w:t>
      </w:r>
    </w:p>
    <w:p w14:paraId="50382C1A" w14:textId="11D6C973" w:rsidR="007842B1" w:rsidRPr="00252459" w:rsidRDefault="00C80584" w:rsidP="00484D4B">
      <w:pPr>
        <w:pStyle w:val="Textkrper"/>
        <w:spacing w:line="276" w:lineRule="auto"/>
        <w:jc w:val="both"/>
        <w:rPr>
          <w:rFonts w:eastAsiaTheme="minorHAnsi"/>
          <w:sz w:val="22"/>
          <w:szCs w:val="22"/>
        </w:rPr>
      </w:pPr>
      <w:r w:rsidRPr="00252459">
        <w:rPr>
          <w:rFonts w:eastAsiaTheme="minorHAnsi"/>
          <w:sz w:val="22"/>
          <w:szCs w:val="22"/>
        </w:rPr>
        <w:t xml:space="preserve">Darüber hinaus haben die Frauen- und Gleichstellungsbeauftragten </w:t>
      </w:r>
      <w:r w:rsidR="003723E7" w:rsidRPr="00252459">
        <w:rPr>
          <w:rFonts w:eastAsiaTheme="minorHAnsi"/>
          <w:sz w:val="22"/>
          <w:szCs w:val="22"/>
        </w:rPr>
        <w:t xml:space="preserve">weitere </w:t>
      </w:r>
      <w:r w:rsidRPr="00252459">
        <w:rPr>
          <w:rFonts w:eastAsiaTheme="minorHAnsi"/>
          <w:sz w:val="22"/>
          <w:szCs w:val="22"/>
        </w:rPr>
        <w:t xml:space="preserve">Veranstaltungen </w:t>
      </w:r>
      <w:r w:rsidR="0027319C" w:rsidRPr="00252459">
        <w:rPr>
          <w:rFonts w:eastAsiaTheme="minorHAnsi"/>
          <w:sz w:val="22"/>
          <w:szCs w:val="22"/>
        </w:rPr>
        <w:t>mit</w:t>
      </w:r>
      <w:r w:rsidR="003723E7" w:rsidRPr="00252459">
        <w:rPr>
          <w:rFonts w:eastAsiaTheme="minorHAnsi"/>
          <w:sz w:val="22"/>
          <w:szCs w:val="22"/>
        </w:rPr>
        <w:t xml:space="preserve">initiiert und organisiert: </w:t>
      </w:r>
      <w:r w:rsidR="002A4A3D" w:rsidRPr="00252459">
        <w:rPr>
          <w:rFonts w:eastAsiaTheme="minorHAnsi"/>
          <w:sz w:val="22"/>
          <w:szCs w:val="22"/>
        </w:rPr>
        <w:t>Am 19. März 2024 fand in der Theologischen Fakultät ein Podium</w:t>
      </w:r>
      <w:r w:rsidRPr="00252459">
        <w:rPr>
          <w:rFonts w:eastAsiaTheme="minorHAnsi"/>
          <w:sz w:val="22"/>
          <w:szCs w:val="22"/>
        </w:rPr>
        <w:t>sgespräch</w:t>
      </w:r>
      <w:r w:rsidR="002A4A3D" w:rsidRPr="00252459">
        <w:rPr>
          <w:rFonts w:eastAsiaTheme="minorHAnsi"/>
          <w:sz w:val="22"/>
          <w:szCs w:val="22"/>
        </w:rPr>
        <w:t xml:space="preserve"> zum Thema „Anti-Feminismus in Kirche und Gesellschaft: Eine Gefahr für unsere Demokratie?“ statt. Die gut besuchte Abendveranstaltung mit reger Diskussion im Anschluss wurde in Kooperation</w:t>
      </w:r>
      <w:r w:rsidR="0027319C" w:rsidRPr="00252459">
        <w:rPr>
          <w:rFonts w:eastAsiaTheme="minorHAnsi"/>
          <w:sz w:val="22"/>
          <w:szCs w:val="22"/>
        </w:rPr>
        <w:t xml:space="preserve"> mit anderen Partnerinstitutionen</w:t>
      </w:r>
      <w:r w:rsidR="002A4A3D" w:rsidRPr="00252459">
        <w:rPr>
          <w:rFonts w:eastAsiaTheme="minorHAnsi"/>
          <w:sz w:val="22"/>
          <w:szCs w:val="22"/>
        </w:rPr>
        <w:t xml:space="preserve"> durchgeführt, darunter d</w:t>
      </w:r>
      <w:r w:rsidR="0027319C" w:rsidRPr="00252459">
        <w:rPr>
          <w:rFonts w:eastAsiaTheme="minorHAnsi"/>
          <w:sz w:val="22"/>
          <w:szCs w:val="22"/>
        </w:rPr>
        <w:t>em</w:t>
      </w:r>
      <w:r w:rsidR="002A4A3D" w:rsidRPr="00252459">
        <w:rPr>
          <w:rFonts w:eastAsiaTheme="minorHAnsi"/>
          <w:sz w:val="22"/>
          <w:szCs w:val="22"/>
        </w:rPr>
        <w:t xml:space="preserve"> Katholische</w:t>
      </w:r>
      <w:r w:rsidR="00484D4B" w:rsidRPr="00252459">
        <w:rPr>
          <w:rFonts w:eastAsiaTheme="minorHAnsi"/>
          <w:sz w:val="22"/>
          <w:szCs w:val="22"/>
        </w:rPr>
        <w:t>n</w:t>
      </w:r>
      <w:r w:rsidR="002A4A3D" w:rsidRPr="00252459">
        <w:rPr>
          <w:rFonts w:eastAsiaTheme="minorHAnsi"/>
          <w:sz w:val="22"/>
          <w:szCs w:val="22"/>
        </w:rPr>
        <w:t xml:space="preserve"> Büro Berlin-Brandenburg</w:t>
      </w:r>
      <w:r w:rsidR="00484D4B" w:rsidRPr="00252459">
        <w:rPr>
          <w:rFonts w:eastAsiaTheme="minorHAnsi"/>
          <w:sz w:val="22"/>
          <w:szCs w:val="22"/>
        </w:rPr>
        <w:t xml:space="preserve"> und</w:t>
      </w:r>
      <w:r w:rsidR="002A4A3D" w:rsidRPr="00252459">
        <w:rPr>
          <w:rFonts w:eastAsiaTheme="minorHAnsi"/>
          <w:sz w:val="22"/>
          <w:szCs w:val="22"/>
        </w:rPr>
        <w:t xml:space="preserve"> de</w:t>
      </w:r>
      <w:r w:rsidR="00484D4B" w:rsidRPr="00252459">
        <w:rPr>
          <w:rFonts w:eastAsiaTheme="minorHAnsi"/>
          <w:sz w:val="22"/>
          <w:szCs w:val="22"/>
        </w:rPr>
        <w:t>m</w:t>
      </w:r>
      <w:r w:rsidR="002A4A3D" w:rsidRPr="00252459">
        <w:rPr>
          <w:rFonts w:eastAsiaTheme="minorHAnsi"/>
          <w:sz w:val="22"/>
          <w:szCs w:val="22"/>
        </w:rPr>
        <w:t xml:space="preserve"> K</w:t>
      </w:r>
      <w:r w:rsidR="00484D4B" w:rsidRPr="00252459">
        <w:rPr>
          <w:rFonts w:eastAsiaTheme="minorHAnsi"/>
          <w:sz w:val="22"/>
          <w:szCs w:val="22"/>
        </w:rPr>
        <w:t xml:space="preserve">atholischen Deutschen Frauenbund </w:t>
      </w:r>
      <w:r w:rsidR="002A4A3D" w:rsidRPr="00252459">
        <w:rPr>
          <w:rFonts w:eastAsiaTheme="minorHAnsi"/>
          <w:sz w:val="22"/>
          <w:szCs w:val="22"/>
        </w:rPr>
        <w:t>Berlin. Als frauenpolitische Sprecherinnen des Berliner Abgeord</w:t>
      </w:r>
      <w:r w:rsidR="00DA09BE" w:rsidRPr="00252459">
        <w:rPr>
          <w:rFonts w:eastAsiaTheme="minorHAnsi"/>
          <w:sz w:val="22"/>
          <w:szCs w:val="22"/>
        </w:rPr>
        <w:softHyphen/>
      </w:r>
      <w:r w:rsidR="002A4A3D" w:rsidRPr="00252459">
        <w:rPr>
          <w:rFonts w:eastAsiaTheme="minorHAnsi"/>
          <w:sz w:val="22"/>
          <w:szCs w:val="22"/>
        </w:rPr>
        <w:t>neten</w:t>
      </w:r>
      <w:r w:rsidR="00DA09BE" w:rsidRPr="00252459">
        <w:rPr>
          <w:rFonts w:eastAsiaTheme="minorHAnsi"/>
          <w:sz w:val="22"/>
          <w:szCs w:val="22"/>
        </w:rPr>
        <w:softHyphen/>
      </w:r>
      <w:r w:rsidR="002A4A3D" w:rsidRPr="00252459">
        <w:rPr>
          <w:rFonts w:eastAsiaTheme="minorHAnsi"/>
          <w:sz w:val="22"/>
          <w:szCs w:val="22"/>
        </w:rPr>
        <w:t xml:space="preserve">hauses waren vertreten: Mirjam Golm von der SPD, Bahar </w:t>
      </w:r>
      <w:proofErr w:type="spellStart"/>
      <w:r w:rsidR="002A4A3D" w:rsidRPr="00252459">
        <w:rPr>
          <w:rFonts w:eastAsiaTheme="minorHAnsi"/>
          <w:sz w:val="22"/>
          <w:szCs w:val="22"/>
        </w:rPr>
        <w:t>Haghanipour</w:t>
      </w:r>
      <w:proofErr w:type="spellEnd"/>
      <w:r w:rsidR="002A4A3D" w:rsidRPr="00252459">
        <w:rPr>
          <w:rFonts w:eastAsiaTheme="minorHAnsi"/>
          <w:sz w:val="22"/>
          <w:szCs w:val="22"/>
        </w:rPr>
        <w:t xml:space="preserve"> von den Grünen und </w:t>
      </w:r>
      <w:proofErr w:type="spellStart"/>
      <w:r w:rsidR="002A4A3D" w:rsidRPr="00252459">
        <w:rPr>
          <w:rFonts w:eastAsiaTheme="minorHAnsi"/>
          <w:sz w:val="22"/>
          <w:szCs w:val="22"/>
        </w:rPr>
        <w:t>Idona</w:t>
      </w:r>
      <w:proofErr w:type="spellEnd"/>
      <w:r w:rsidR="002A4A3D" w:rsidRPr="00252459">
        <w:rPr>
          <w:rFonts w:eastAsiaTheme="minorHAnsi"/>
          <w:sz w:val="22"/>
          <w:szCs w:val="22"/>
        </w:rPr>
        <w:t xml:space="preserve"> Niemczyk von der CDU. Ruth Heß, die theologische Studienleiterin und Geschäftsführerin des Studien</w:t>
      </w:r>
      <w:r w:rsidR="00DA09BE" w:rsidRPr="00252459">
        <w:rPr>
          <w:rFonts w:eastAsiaTheme="minorHAnsi"/>
          <w:sz w:val="22"/>
          <w:szCs w:val="22"/>
        </w:rPr>
        <w:softHyphen/>
      </w:r>
      <w:r w:rsidR="002A4A3D" w:rsidRPr="00252459">
        <w:rPr>
          <w:rFonts w:eastAsiaTheme="minorHAnsi"/>
          <w:sz w:val="22"/>
          <w:szCs w:val="22"/>
        </w:rPr>
        <w:t>zentrums der EKD für Genderfragen, moderierte die Diskussion.</w:t>
      </w:r>
    </w:p>
    <w:p w14:paraId="57627AB2" w14:textId="7C9FED6E" w:rsidR="001348DE" w:rsidRPr="00252459" w:rsidRDefault="001348DE" w:rsidP="00010D2F">
      <w:pPr>
        <w:pStyle w:val="Textkrper"/>
        <w:spacing w:line="276" w:lineRule="auto"/>
        <w:jc w:val="both"/>
        <w:rPr>
          <w:rFonts w:asciiTheme="majorBidi" w:hAnsiTheme="majorBidi" w:cstheme="majorBidi"/>
          <w:sz w:val="22"/>
          <w:szCs w:val="22"/>
        </w:rPr>
      </w:pPr>
      <w:r w:rsidRPr="00252459">
        <w:rPr>
          <w:rFonts w:asciiTheme="majorBidi" w:hAnsiTheme="majorBidi" w:cstheme="majorBidi"/>
          <w:sz w:val="22"/>
          <w:szCs w:val="22"/>
        </w:rPr>
        <w:t>Auf Anregung der Studierenden befassen sich die Frauen- und Gleichstellungsbeauftragten in Zusam</w:t>
      </w:r>
      <w:r w:rsidR="007B3402" w:rsidRPr="00252459">
        <w:rPr>
          <w:rFonts w:asciiTheme="majorBidi" w:hAnsiTheme="majorBidi" w:cstheme="majorBidi"/>
          <w:sz w:val="22"/>
          <w:szCs w:val="22"/>
        </w:rPr>
        <w:softHyphen/>
      </w:r>
      <w:r w:rsidRPr="00252459">
        <w:rPr>
          <w:rFonts w:asciiTheme="majorBidi" w:hAnsiTheme="majorBidi" w:cstheme="majorBidi"/>
          <w:sz w:val="22"/>
          <w:szCs w:val="22"/>
        </w:rPr>
        <w:t>men</w:t>
      </w:r>
      <w:r w:rsidR="007B3402" w:rsidRPr="00252459">
        <w:rPr>
          <w:rFonts w:asciiTheme="majorBidi" w:hAnsiTheme="majorBidi" w:cstheme="majorBidi"/>
          <w:sz w:val="22"/>
          <w:szCs w:val="22"/>
        </w:rPr>
        <w:softHyphen/>
      </w:r>
      <w:r w:rsidR="00946A74" w:rsidRPr="00252459">
        <w:rPr>
          <w:rFonts w:asciiTheme="majorBidi" w:hAnsiTheme="majorBidi" w:cstheme="majorBidi"/>
          <w:sz w:val="22"/>
          <w:szCs w:val="22"/>
        </w:rPr>
        <w:softHyphen/>
      </w:r>
      <w:r w:rsidRPr="00252459">
        <w:rPr>
          <w:rFonts w:asciiTheme="majorBidi" w:hAnsiTheme="majorBidi" w:cstheme="majorBidi"/>
          <w:sz w:val="22"/>
          <w:szCs w:val="22"/>
        </w:rPr>
        <w:t xml:space="preserve">arbeit mit der </w:t>
      </w:r>
      <w:r w:rsidRPr="00252459">
        <w:rPr>
          <w:rFonts w:asciiTheme="majorBidi" w:hAnsiTheme="majorBidi" w:cstheme="majorBidi"/>
          <w:i/>
          <w:iCs/>
          <w:sz w:val="22"/>
          <w:szCs w:val="22"/>
        </w:rPr>
        <w:t>Gebäude- und Nachhaltigkeitskommission</w:t>
      </w:r>
      <w:r w:rsidRPr="00252459">
        <w:rPr>
          <w:rFonts w:asciiTheme="majorBidi" w:hAnsiTheme="majorBidi" w:cstheme="majorBidi"/>
          <w:sz w:val="22"/>
          <w:szCs w:val="22"/>
        </w:rPr>
        <w:t xml:space="preserve"> mit den Möglichkeiten</w:t>
      </w:r>
      <w:r w:rsidR="00010D2F" w:rsidRPr="00252459">
        <w:rPr>
          <w:rFonts w:asciiTheme="majorBidi" w:hAnsiTheme="majorBidi" w:cstheme="majorBidi"/>
          <w:sz w:val="22"/>
          <w:szCs w:val="22"/>
        </w:rPr>
        <w:t xml:space="preserve">, </w:t>
      </w:r>
      <w:r w:rsidRPr="00252459">
        <w:rPr>
          <w:rFonts w:asciiTheme="majorBidi" w:hAnsiTheme="majorBidi" w:cstheme="majorBidi"/>
          <w:sz w:val="22"/>
          <w:szCs w:val="22"/>
        </w:rPr>
        <w:t>Menstruations</w:t>
      </w:r>
      <w:r w:rsidR="00A75948" w:rsidRPr="00252459">
        <w:rPr>
          <w:rFonts w:asciiTheme="majorBidi" w:hAnsiTheme="majorBidi" w:cstheme="majorBidi"/>
          <w:sz w:val="22"/>
          <w:szCs w:val="22"/>
        </w:rPr>
        <w:softHyphen/>
      </w:r>
      <w:r w:rsidRPr="00252459">
        <w:rPr>
          <w:rFonts w:asciiTheme="majorBidi" w:hAnsiTheme="majorBidi" w:cstheme="majorBidi"/>
          <w:sz w:val="22"/>
          <w:szCs w:val="22"/>
        </w:rPr>
        <w:t xml:space="preserve">produkte </w:t>
      </w:r>
      <w:r w:rsidR="00010D2F" w:rsidRPr="00252459">
        <w:rPr>
          <w:rFonts w:asciiTheme="majorBidi" w:hAnsiTheme="majorBidi" w:cstheme="majorBidi"/>
          <w:sz w:val="22"/>
          <w:szCs w:val="22"/>
        </w:rPr>
        <w:t>kostenfrei in der</w:t>
      </w:r>
      <w:r w:rsidRPr="00252459">
        <w:rPr>
          <w:rFonts w:asciiTheme="majorBidi" w:hAnsiTheme="majorBidi" w:cstheme="majorBidi"/>
          <w:sz w:val="22"/>
          <w:szCs w:val="22"/>
        </w:rPr>
        <w:t xml:space="preserve"> Theologische</w:t>
      </w:r>
      <w:r w:rsidR="00010D2F" w:rsidRPr="00252459">
        <w:rPr>
          <w:rFonts w:asciiTheme="majorBidi" w:hAnsiTheme="majorBidi" w:cstheme="majorBidi"/>
          <w:sz w:val="22"/>
          <w:szCs w:val="22"/>
        </w:rPr>
        <w:t>n</w:t>
      </w:r>
      <w:r w:rsidRPr="00252459">
        <w:rPr>
          <w:rFonts w:asciiTheme="majorBidi" w:hAnsiTheme="majorBidi" w:cstheme="majorBidi"/>
          <w:sz w:val="22"/>
          <w:szCs w:val="22"/>
        </w:rPr>
        <w:t xml:space="preserve"> Fakultät</w:t>
      </w:r>
      <w:r w:rsidR="00010D2F" w:rsidRPr="00252459">
        <w:rPr>
          <w:rFonts w:asciiTheme="majorBidi" w:hAnsiTheme="majorBidi" w:cstheme="majorBidi"/>
          <w:sz w:val="22"/>
          <w:szCs w:val="22"/>
        </w:rPr>
        <w:t xml:space="preserve"> zur Verfügung zu stellen, da</w:t>
      </w:r>
      <w:r w:rsidR="000F4E73" w:rsidRPr="00252459">
        <w:rPr>
          <w:rFonts w:asciiTheme="majorBidi" w:hAnsiTheme="majorBidi" w:cstheme="majorBidi"/>
          <w:sz w:val="22"/>
          <w:szCs w:val="22"/>
        </w:rPr>
        <w:t xml:space="preserve"> menstruierende Studierende</w:t>
      </w:r>
      <w:r w:rsidR="00556E3C" w:rsidRPr="00252459">
        <w:rPr>
          <w:rFonts w:asciiTheme="majorBidi" w:hAnsiTheme="majorBidi" w:cstheme="majorBidi"/>
          <w:sz w:val="22"/>
          <w:szCs w:val="22"/>
        </w:rPr>
        <w:t xml:space="preserve"> </w:t>
      </w:r>
      <w:r w:rsidR="000F4E73" w:rsidRPr="00252459">
        <w:rPr>
          <w:rFonts w:asciiTheme="majorBidi" w:hAnsiTheme="majorBidi" w:cstheme="majorBidi"/>
          <w:sz w:val="22"/>
          <w:szCs w:val="22"/>
        </w:rPr>
        <w:t>von Periodenarmut betroffen sind. D</w:t>
      </w:r>
      <w:r w:rsidR="00484D4B" w:rsidRPr="00252459">
        <w:rPr>
          <w:rFonts w:asciiTheme="majorBidi" w:hAnsiTheme="majorBidi" w:cstheme="majorBidi"/>
          <w:sz w:val="22"/>
          <w:szCs w:val="22"/>
        </w:rPr>
        <w:t xml:space="preserve">eshalb sollen </w:t>
      </w:r>
      <w:r w:rsidR="000F4E73" w:rsidRPr="00252459">
        <w:rPr>
          <w:rFonts w:asciiTheme="majorBidi" w:hAnsiTheme="majorBidi" w:cstheme="majorBidi"/>
          <w:sz w:val="22"/>
          <w:szCs w:val="22"/>
        </w:rPr>
        <w:t xml:space="preserve">Menstruationsartikel </w:t>
      </w:r>
      <w:r w:rsidR="00484D4B" w:rsidRPr="00252459">
        <w:rPr>
          <w:rFonts w:asciiTheme="majorBidi" w:hAnsiTheme="majorBidi" w:cstheme="majorBidi"/>
          <w:sz w:val="22"/>
          <w:szCs w:val="22"/>
        </w:rPr>
        <w:t xml:space="preserve">als </w:t>
      </w:r>
      <w:r w:rsidR="000F4E73" w:rsidRPr="00252459">
        <w:rPr>
          <w:rFonts w:asciiTheme="majorBidi" w:hAnsiTheme="majorBidi" w:cstheme="majorBidi"/>
          <w:sz w:val="22"/>
          <w:szCs w:val="22"/>
        </w:rPr>
        <w:t>Hygiene</w:t>
      </w:r>
      <w:r w:rsidR="00A75948" w:rsidRPr="00252459">
        <w:rPr>
          <w:rFonts w:asciiTheme="majorBidi" w:hAnsiTheme="majorBidi" w:cstheme="majorBidi"/>
          <w:sz w:val="22"/>
          <w:szCs w:val="22"/>
        </w:rPr>
        <w:softHyphen/>
      </w:r>
      <w:r w:rsidR="000F4E73" w:rsidRPr="00252459">
        <w:rPr>
          <w:rFonts w:asciiTheme="majorBidi" w:hAnsiTheme="majorBidi" w:cstheme="majorBidi"/>
          <w:sz w:val="22"/>
          <w:szCs w:val="22"/>
        </w:rPr>
        <w:t>produkte</w:t>
      </w:r>
      <w:r w:rsidR="00484D4B" w:rsidRPr="00252459">
        <w:rPr>
          <w:rFonts w:asciiTheme="majorBidi" w:hAnsiTheme="majorBidi" w:cstheme="majorBidi"/>
          <w:sz w:val="22"/>
          <w:szCs w:val="22"/>
        </w:rPr>
        <w:t xml:space="preserve"> </w:t>
      </w:r>
      <w:r w:rsidR="000F4E73" w:rsidRPr="00252459">
        <w:rPr>
          <w:rFonts w:asciiTheme="majorBidi" w:hAnsiTheme="majorBidi" w:cstheme="majorBidi"/>
          <w:sz w:val="22"/>
          <w:szCs w:val="22"/>
        </w:rPr>
        <w:t xml:space="preserve">analog zu Toilettenpapier, Seife </w:t>
      </w:r>
      <w:r w:rsidR="00C5503C" w:rsidRPr="00252459">
        <w:rPr>
          <w:rFonts w:asciiTheme="majorBidi" w:hAnsiTheme="majorBidi" w:cstheme="majorBidi"/>
          <w:sz w:val="22"/>
          <w:szCs w:val="22"/>
        </w:rPr>
        <w:t>und Trocken</w:t>
      </w:r>
      <w:r w:rsidR="00DA09BE" w:rsidRPr="00252459">
        <w:rPr>
          <w:rFonts w:asciiTheme="majorBidi" w:hAnsiTheme="majorBidi" w:cstheme="majorBidi"/>
          <w:sz w:val="22"/>
          <w:szCs w:val="22"/>
        </w:rPr>
        <w:softHyphen/>
      </w:r>
      <w:r w:rsidR="00C5503C" w:rsidRPr="00252459">
        <w:rPr>
          <w:rFonts w:asciiTheme="majorBidi" w:hAnsiTheme="majorBidi" w:cstheme="majorBidi"/>
          <w:sz w:val="22"/>
          <w:szCs w:val="22"/>
        </w:rPr>
        <w:t>tüchern</w:t>
      </w:r>
      <w:r w:rsidR="000F4E73" w:rsidRPr="00252459">
        <w:rPr>
          <w:rFonts w:asciiTheme="majorBidi" w:hAnsiTheme="majorBidi" w:cstheme="majorBidi"/>
          <w:sz w:val="22"/>
          <w:szCs w:val="22"/>
        </w:rPr>
        <w:t xml:space="preserve"> </w:t>
      </w:r>
      <w:r w:rsidR="00024E1D" w:rsidRPr="00252459">
        <w:rPr>
          <w:rFonts w:asciiTheme="majorBidi" w:hAnsiTheme="majorBidi" w:cstheme="majorBidi"/>
          <w:sz w:val="22"/>
          <w:szCs w:val="22"/>
        </w:rPr>
        <w:t>zur Verfügung</w:t>
      </w:r>
      <w:r w:rsidR="00484D4B" w:rsidRPr="00252459">
        <w:rPr>
          <w:rFonts w:asciiTheme="majorBidi" w:hAnsiTheme="majorBidi" w:cstheme="majorBidi"/>
          <w:sz w:val="22"/>
          <w:szCs w:val="22"/>
        </w:rPr>
        <w:t xml:space="preserve"> gestellt </w:t>
      </w:r>
      <w:r w:rsidR="000F4E73" w:rsidRPr="00252459">
        <w:rPr>
          <w:rFonts w:asciiTheme="majorBidi" w:hAnsiTheme="majorBidi" w:cstheme="majorBidi"/>
          <w:sz w:val="22"/>
          <w:szCs w:val="22"/>
        </w:rPr>
        <w:t xml:space="preserve">werden. </w:t>
      </w:r>
      <w:r w:rsidRPr="00252459">
        <w:rPr>
          <w:rFonts w:asciiTheme="majorBidi" w:hAnsiTheme="majorBidi" w:cstheme="majorBidi"/>
          <w:sz w:val="22"/>
          <w:szCs w:val="22"/>
        </w:rPr>
        <w:t xml:space="preserve">Die Frauen- und Gleichstellungsbeauftragten </w:t>
      </w:r>
      <w:r w:rsidR="00010D2F" w:rsidRPr="00252459">
        <w:rPr>
          <w:rFonts w:asciiTheme="majorBidi" w:hAnsiTheme="majorBidi" w:cstheme="majorBidi"/>
          <w:sz w:val="22"/>
          <w:szCs w:val="22"/>
        </w:rPr>
        <w:t xml:space="preserve">klären die rechtlichen Voraussetzungen für die öffentliche Anbringung von Spendern für Menstruationsprodukte und </w:t>
      </w:r>
      <w:r w:rsidRPr="00252459">
        <w:rPr>
          <w:rFonts w:asciiTheme="majorBidi" w:hAnsiTheme="majorBidi" w:cstheme="majorBidi"/>
          <w:sz w:val="22"/>
          <w:szCs w:val="22"/>
        </w:rPr>
        <w:t>sagten</w:t>
      </w:r>
      <w:r w:rsidR="00AC077A" w:rsidRPr="00252459">
        <w:rPr>
          <w:rFonts w:asciiTheme="majorBidi" w:hAnsiTheme="majorBidi" w:cstheme="majorBidi"/>
          <w:sz w:val="22"/>
          <w:szCs w:val="22"/>
        </w:rPr>
        <w:t xml:space="preserve"> die Erst</w:t>
      </w:r>
      <w:r w:rsidR="00DA09BE" w:rsidRPr="00252459">
        <w:rPr>
          <w:rFonts w:asciiTheme="majorBidi" w:hAnsiTheme="majorBidi" w:cstheme="majorBidi"/>
          <w:sz w:val="22"/>
          <w:szCs w:val="22"/>
        </w:rPr>
        <w:softHyphen/>
      </w:r>
      <w:r w:rsidR="00AC077A" w:rsidRPr="00252459">
        <w:rPr>
          <w:rFonts w:asciiTheme="majorBidi" w:hAnsiTheme="majorBidi" w:cstheme="majorBidi"/>
          <w:sz w:val="22"/>
          <w:szCs w:val="22"/>
        </w:rPr>
        <w:t>anschaffung der Produkte</w:t>
      </w:r>
      <w:r w:rsidRPr="00252459">
        <w:rPr>
          <w:rFonts w:asciiTheme="majorBidi" w:hAnsiTheme="majorBidi" w:cstheme="majorBidi"/>
          <w:sz w:val="22"/>
          <w:szCs w:val="22"/>
        </w:rPr>
        <w:t xml:space="preserve"> aus den Mitteln der Frauen*</w:t>
      </w:r>
      <w:proofErr w:type="spellStart"/>
      <w:r w:rsidRPr="00252459">
        <w:rPr>
          <w:rFonts w:asciiTheme="majorBidi" w:hAnsiTheme="majorBidi" w:cstheme="majorBidi"/>
          <w:sz w:val="22"/>
          <w:szCs w:val="22"/>
        </w:rPr>
        <w:t>förderung</w:t>
      </w:r>
      <w:proofErr w:type="spellEnd"/>
      <w:r w:rsidRPr="00252459">
        <w:rPr>
          <w:rFonts w:asciiTheme="majorBidi" w:hAnsiTheme="majorBidi" w:cstheme="majorBidi"/>
          <w:sz w:val="22"/>
          <w:szCs w:val="22"/>
        </w:rPr>
        <w:t xml:space="preserve"> zu</w:t>
      </w:r>
      <w:r w:rsidR="00010D2F" w:rsidRPr="00252459">
        <w:rPr>
          <w:rFonts w:asciiTheme="majorBidi" w:hAnsiTheme="majorBidi" w:cstheme="majorBidi"/>
          <w:sz w:val="22"/>
          <w:szCs w:val="22"/>
        </w:rPr>
        <w:t xml:space="preserve">. Langfristig ist darauf hinzuarbeiten, </w:t>
      </w:r>
      <w:r w:rsidR="0027319C" w:rsidRPr="00252459">
        <w:rPr>
          <w:rFonts w:asciiTheme="majorBidi" w:hAnsiTheme="majorBidi" w:cstheme="majorBidi"/>
          <w:sz w:val="22"/>
          <w:szCs w:val="22"/>
        </w:rPr>
        <w:t>dass die Bereitstellung der Produkte auf Fakultäts- bzw. Universitätsebene dauerhaft geregelt und finanziert wird.</w:t>
      </w:r>
      <w:r w:rsidR="001914A1" w:rsidRPr="00252459">
        <w:rPr>
          <w:rFonts w:asciiTheme="majorBidi" w:hAnsiTheme="majorBidi" w:cstheme="majorBidi"/>
          <w:sz w:val="22"/>
          <w:szCs w:val="22"/>
        </w:rPr>
        <w:t xml:space="preserve"> </w:t>
      </w:r>
    </w:p>
    <w:p w14:paraId="224D6598" w14:textId="77777777" w:rsidR="002A4A3D" w:rsidRPr="00252459" w:rsidRDefault="002A4A3D" w:rsidP="002A4A3D">
      <w:pPr>
        <w:pStyle w:val="Textkrper"/>
        <w:spacing w:line="276" w:lineRule="auto"/>
        <w:jc w:val="both"/>
        <w:rPr>
          <w:rFonts w:asciiTheme="majorBidi" w:hAnsiTheme="majorBidi" w:cstheme="majorBidi"/>
          <w:sz w:val="22"/>
          <w:szCs w:val="22"/>
        </w:rPr>
      </w:pPr>
    </w:p>
    <w:p w14:paraId="0A36BC94" w14:textId="77777777" w:rsidR="00AC70F1" w:rsidRPr="00252459" w:rsidRDefault="00AC70F1" w:rsidP="00AC70F1">
      <w:pPr>
        <w:pStyle w:val="Textkrper"/>
        <w:spacing w:line="276" w:lineRule="auto"/>
        <w:jc w:val="both"/>
        <w:rPr>
          <w:rFonts w:asciiTheme="majorBidi" w:hAnsiTheme="majorBidi" w:cstheme="majorBidi"/>
          <w:b/>
          <w:bCs/>
          <w:sz w:val="22"/>
          <w:szCs w:val="22"/>
        </w:rPr>
      </w:pPr>
      <w:r w:rsidRPr="00252459">
        <w:rPr>
          <w:rFonts w:asciiTheme="majorBidi" w:hAnsiTheme="majorBidi" w:cstheme="majorBidi"/>
          <w:b/>
          <w:bCs/>
          <w:sz w:val="22"/>
          <w:szCs w:val="22"/>
        </w:rPr>
        <w:t>1.2 Gleichstellungskommission</w:t>
      </w:r>
    </w:p>
    <w:p w14:paraId="70ED278B" w14:textId="0416DFEE" w:rsidR="00AC70F1" w:rsidRPr="00252459" w:rsidRDefault="00AC70F1" w:rsidP="0027319C">
      <w:pPr>
        <w:pStyle w:val="Textkrper"/>
        <w:spacing w:line="276" w:lineRule="auto"/>
        <w:jc w:val="both"/>
        <w:rPr>
          <w:rFonts w:asciiTheme="majorBidi" w:hAnsiTheme="majorBidi" w:cstheme="majorBidi"/>
          <w:sz w:val="22"/>
          <w:szCs w:val="22"/>
        </w:rPr>
      </w:pPr>
      <w:r w:rsidRPr="00252459">
        <w:rPr>
          <w:rFonts w:asciiTheme="majorBidi" w:hAnsiTheme="majorBidi" w:cstheme="majorBidi"/>
          <w:sz w:val="22"/>
          <w:szCs w:val="22"/>
        </w:rPr>
        <w:t xml:space="preserve">Die Gleichstellungskommission der Fakultät ist paritätisch besetzt mit von den jeweiligen Statusgruppen gewählten Mitgliedern und ihren Stellvertreter*innen. Auch die </w:t>
      </w:r>
      <w:r w:rsidR="001F3B9C" w:rsidRPr="00252459">
        <w:rPr>
          <w:rFonts w:asciiTheme="majorBidi" w:hAnsiTheme="majorBidi" w:cstheme="majorBidi"/>
          <w:sz w:val="22"/>
          <w:szCs w:val="22"/>
        </w:rPr>
        <w:t>Frauen- und Gleich</w:t>
      </w:r>
      <w:r w:rsidR="007B3402" w:rsidRPr="00252459">
        <w:rPr>
          <w:rFonts w:asciiTheme="majorBidi" w:hAnsiTheme="majorBidi" w:cstheme="majorBidi"/>
          <w:sz w:val="22"/>
          <w:szCs w:val="22"/>
        </w:rPr>
        <w:softHyphen/>
      </w:r>
      <w:r w:rsidR="001F3B9C" w:rsidRPr="00252459">
        <w:rPr>
          <w:rFonts w:asciiTheme="majorBidi" w:hAnsiTheme="majorBidi" w:cstheme="majorBidi"/>
          <w:sz w:val="22"/>
          <w:szCs w:val="22"/>
        </w:rPr>
        <w:t>stellungs</w:t>
      </w:r>
      <w:r w:rsidR="007B3402" w:rsidRPr="00252459">
        <w:rPr>
          <w:rFonts w:asciiTheme="majorBidi" w:hAnsiTheme="majorBidi" w:cstheme="majorBidi"/>
          <w:sz w:val="22"/>
          <w:szCs w:val="22"/>
        </w:rPr>
        <w:softHyphen/>
      </w:r>
      <w:r w:rsidR="001F3B9C" w:rsidRPr="00252459">
        <w:rPr>
          <w:rFonts w:asciiTheme="majorBidi" w:hAnsiTheme="majorBidi" w:cstheme="majorBidi"/>
          <w:sz w:val="22"/>
          <w:szCs w:val="22"/>
        </w:rPr>
        <w:t xml:space="preserve">beauftragten </w:t>
      </w:r>
      <w:r w:rsidR="0027319C" w:rsidRPr="00252459">
        <w:rPr>
          <w:rFonts w:asciiTheme="majorBidi" w:hAnsiTheme="majorBidi" w:cstheme="majorBidi"/>
          <w:sz w:val="22"/>
          <w:szCs w:val="22"/>
        </w:rPr>
        <w:t>sind</w:t>
      </w:r>
      <w:r w:rsidRPr="00252459">
        <w:rPr>
          <w:rFonts w:asciiTheme="majorBidi" w:hAnsiTheme="majorBidi" w:cstheme="majorBidi"/>
          <w:sz w:val="22"/>
          <w:szCs w:val="22"/>
        </w:rPr>
        <w:t xml:space="preserve"> qua Amt Mitglied der Gleichstellungskommission. Die Statusgruppe </w:t>
      </w:r>
      <w:r w:rsidR="007B3402" w:rsidRPr="00252459">
        <w:rPr>
          <w:rFonts w:asciiTheme="majorBidi" w:hAnsiTheme="majorBidi" w:cstheme="majorBidi"/>
          <w:sz w:val="22"/>
          <w:szCs w:val="22"/>
        </w:rPr>
        <w:t xml:space="preserve">der </w:t>
      </w:r>
      <w:r w:rsidRPr="00252459">
        <w:rPr>
          <w:rFonts w:asciiTheme="majorBidi" w:hAnsiTheme="majorBidi" w:cstheme="majorBidi"/>
          <w:sz w:val="22"/>
          <w:szCs w:val="22"/>
        </w:rPr>
        <w:t>Mit</w:t>
      </w:r>
      <w:r w:rsidR="007B3402" w:rsidRPr="00252459">
        <w:rPr>
          <w:rFonts w:asciiTheme="majorBidi" w:hAnsiTheme="majorBidi" w:cstheme="majorBidi"/>
          <w:sz w:val="22"/>
          <w:szCs w:val="22"/>
        </w:rPr>
        <w:softHyphen/>
      </w:r>
      <w:r w:rsidRPr="00252459">
        <w:rPr>
          <w:rFonts w:asciiTheme="majorBidi" w:hAnsiTheme="majorBidi" w:cstheme="majorBidi"/>
          <w:sz w:val="22"/>
          <w:szCs w:val="22"/>
        </w:rPr>
        <w:t>arbeiter*innen aus Technik, Service und Verwaltung (MTSV) hat für den Berichtszeitraum keine Vertretung nominiert. Die Kommission hat im Berichtszeitraum zwei Mal pro Semester getagt, um Anliegen der Gleichstellung zu besprechen und Aktivitäten zum Abbau benannter Diskriminierungs</w:t>
      </w:r>
      <w:r w:rsidR="00DA09BE" w:rsidRPr="00252459">
        <w:rPr>
          <w:rFonts w:asciiTheme="majorBidi" w:hAnsiTheme="majorBidi" w:cstheme="majorBidi"/>
          <w:sz w:val="22"/>
          <w:szCs w:val="22"/>
        </w:rPr>
        <w:softHyphen/>
      </w:r>
      <w:r w:rsidRPr="00252459">
        <w:rPr>
          <w:rFonts w:asciiTheme="majorBidi" w:hAnsiTheme="majorBidi" w:cstheme="majorBidi"/>
          <w:sz w:val="22"/>
          <w:szCs w:val="22"/>
        </w:rPr>
        <w:t xml:space="preserve">formen zu planen. </w:t>
      </w:r>
    </w:p>
    <w:p w14:paraId="5512FF06" w14:textId="286BA9A0" w:rsidR="00AC70F1" w:rsidRPr="00252459" w:rsidRDefault="00AC70F1" w:rsidP="004A063B">
      <w:pPr>
        <w:pStyle w:val="Textkrper"/>
        <w:spacing w:line="276" w:lineRule="auto"/>
        <w:jc w:val="both"/>
        <w:rPr>
          <w:rFonts w:asciiTheme="majorBidi" w:hAnsiTheme="majorBidi" w:cstheme="majorBidi"/>
          <w:sz w:val="22"/>
          <w:szCs w:val="22"/>
        </w:rPr>
      </w:pPr>
      <w:r w:rsidRPr="00252459">
        <w:rPr>
          <w:rFonts w:asciiTheme="majorBidi" w:hAnsiTheme="majorBidi" w:cstheme="majorBidi"/>
          <w:sz w:val="22"/>
          <w:szCs w:val="22"/>
        </w:rPr>
        <w:t>Die Gleichstellungskommission hat sich zur besseren Wirkung und Sichtbarkeit ihrer Arbeit vorge</w:t>
      </w:r>
      <w:r w:rsidR="007B3402" w:rsidRPr="00252459">
        <w:rPr>
          <w:rFonts w:asciiTheme="majorBidi" w:hAnsiTheme="majorBidi" w:cstheme="majorBidi"/>
          <w:sz w:val="22"/>
          <w:szCs w:val="22"/>
        </w:rPr>
        <w:softHyphen/>
      </w:r>
      <w:r w:rsidRPr="00252459">
        <w:rPr>
          <w:rFonts w:asciiTheme="majorBidi" w:hAnsiTheme="majorBidi" w:cstheme="majorBidi"/>
          <w:sz w:val="22"/>
          <w:szCs w:val="22"/>
        </w:rPr>
        <w:t xml:space="preserve">nommen, einzelne Aspekte der strukturellen Ungleichheiten in den Fokus zu rücken, um innerhalb der Fakultät für diese zu sensibilisieren und spezifische Maßnahmen </w:t>
      </w:r>
      <w:r w:rsidR="00244B72" w:rsidRPr="00252459">
        <w:rPr>
          <w:rFonts w:asciiTheme="majorBidi" w:hAnsiTheme="majorBidi" w:cstheme="majorBidi"/>
          <w:sz w:val="22"/>
          <w:szCs w:val="22"/>
        </w:rPr>
        <w:t xml:space="preserve">zu planen und </w:t>
      </w:r>
      <w:r w:rsidR="001F3B9C" w:rsidRPr="00252459">
        <w:rPr>
          <w:rFonts w:asciiTheme="majorBidi" w:hAnsiTheme="majorBidi" w:cstheme="majorBidi"/>
          <w:sz w:val="22"/>
          <w:szCs w:val="22"/>
        </w:rPr>
        <w:t>durchzuführen</w:t>
      </w:r>
      <w:r w:rsidRPr="00252459">
        <w:rPr>
          <w:rFonts w:asciiTheme="majorBidi" w:hAnsiTheme="majorBidi" w:cstheme="majorBidi"/>
          <w:sz w:val="22"/>
          <w:szCs w:val="22"/>
        </w:rPr>
        <w:t xml:space="preserve">: </w:t>
      </w:r>
      <w:r w:rsidR="001A12FF" w:rsidRPr="00252459">
        <w:rPr>
          <w:rFonts w:asciiTheme="majorBidi" w:hAnsiTheme="majorBidi" w:cstheme="majorBidi"/>
          <w:sz w:val="22"/>
          <w:szCs w:val="22"/>
        </w:rPr>
        <w:t>Im Berichtszeitraum wurde erstens die Situation sog. Erstakademiker*innen unter den Studierenden in den Fokus gerück</w:t>
      </w:r>
      <w:r w:rsidR="009C2EAD" w:rsidRPr="00252459">
        <w:rPr>
          <w:rFonts w:asciiTheme="majorBidi" w:hAnsiTheme="majorBidi" w:cstheme="majorBidi"/>
          <w:sz w:val="22"/>
          <w:szCs w:val="22"/>
        </w:rPr>
        <w:t xml:space="preserve">t </w:t>
      </w:r>
      <w:r w:rsidRPr="00252459">
        <w:rPr>
          <w:rFonts w:asciiTheme="majorBidi" w:hAnsiTheme="majorBidi" w:cstheme="majorBidi"/>
          <w:sz w:val="22"/>
          <w:szCs w:val="22"/>
        </w:rPr>
        <w:t xml:space="preserve">(s. 2.5) sowie die Sichtbarkeit von Frauen* (Projekt: „Frauen*stimmen“, s. 2.2). </w:t>
      </w:r>
      <w:r w:rsidR="000B1119" w:rsidRPr="00252459">
        <w:rPr>
          <w:rFonts w:asciiTheme="majorBidi" w:hAnsiTheme="majorBidi" w:cstheme="majorBidi"/>
          <w:sz w:val="22"/>
          <w:szCs w:val="22"/>
        </w:rPr>
        <w:t xml:space="preserve">Weiter initiierte die Gleichstellungskommission eine Erklärung des Fakultätsrats (Sitzung am </w:t>
      </w:r>
      <w:r w:rsidR="00DF6718" w:rsidRPr="00252459">
        <w:rPr>
          <w:rFonts w:asciiTheme="majorBidi" w:hAnsiTheme="majorBidi" w:cstheme="majorBidi"/>
          <w:sz w:val="22"/>
          <w:szCs w:val="22"/>
        </w:rPr>
        <w:t>25.01.2023</w:t>
      </w:r>
      <w:r w:rsidR="000E432C" w:rsidRPr="00252459">
        <w:rPr>
          <w:rFonts w:asciiTheme="majorBidi" w:hAnsiTheme="majorBidi" w:cstheme="majorBidi"/>
          <w:sz w:val="22"/>
          <w:szCs w:val="22"/>
        </w:rPr>
        <w:t>)</w:t>
      </w:r>
      <w:r w:rsidR="000B1119" w:rsidRPr="00252459">
        <w:rPr>
          <w:rFonts w:asciiTheme="majorBidi" w:hAnsiTheme="majorBidi" w:cstheme="majorBidi"/>
          <w:sz w:val="22"/>
          <w:szCs w:val="22"/>
        </w:rPr>
        <w:t xml:space="preserve">, die anlässlich eines offenen Briefes, der suggerierte, dass die Fakultät zu „Gendersprache“ verpflichte, die Relevanz von geschlechtergerechter </w:t>
      </w:r>
      <w:r w:rsidR="00576D05" w:rsidRPr="00252459">
        <w:rPr>
          <w:rFonts w:asciiTheme="majorBidi" w:hAnsiTheme="majorBidi" w:cstheme="majorBidi"/>
          <w:sz w:val="22"/>
          <w:szCs w:val="22"/>
        </w:rPr>
        <w:t>S</w:t>
      </w:r>
      <w:r w:rsidR="000B1119" w:rsidRPr="00252459">
        <w:rPr>
          <w:rFonts w:asciiTheme="majorBidi" w:hAnsiTheme="majorBidi" w:cstheme="majorBidi"/>
          <w:sz w:val="22"/>
          <w:szCs w:val="22"/>
        </w:rPr>
        <w:t xml:space="preserve">prache betont, aber zugleich hervorhebt, dass weder die Verwendung noch </w:t>
      </w:r>
      <w:r w:rsidR="00C5503C" w:rsidRPr="00252459">
        <w:rPr>
          <w:rFonts w:asciiTheme="majorBidi" w:hAnsiTheme="majorBidi" w:cstheme="majorBidi"/>
          <w:sz w:val="22"/>
          <w:szCs w:val="22"/>
        </w:rPr>
        <w:t xml:space="preserve">die </w:t>
      </w:r>
      <w:r w:rsidR="000B1119" w:rsidRPr="00252459">
        <w:rPr>
          <w:rFonts w:asciiTheme="majorBidi" w:hAnsiTheme="majorBidi" w:cstheme="majorBidi"/>
          <w:sz w:val="22"/>
          <w:szCs w:val="22"/>
        </w:rPr>
        <w:t>Nichtverwendung</w:t>
      </w:r>
      <w:r w:rsidR="005823BB" w:rsidRPr="00252459">
        <w:rPr>
          <w:rFonts w:asciiTheme="majorBidi" w:hAnsiTheme="majorBidi" w:cstheme="majorBidi"/>
          <w:sz w:val="22"/>
          <w:szCs w:val="22"/>
        </w:rPr>
        <w:t xml:space="preserve"> von geschlechterinklusiver bzw. -neutraler</w:t>
      </w:r>
      <w:r w:rsidR="00BD1CF9" w:rsidRPr="00252459">
        <w:rPr>
          <w:rFonts w:asciiTheme="majorBidi" w:hAnsiTheme="majorBidi" w:cstheme="majorBidi"/>
          <w:sz w:val="22"/>
          <w:szCs w:val="22"/>
        </w:rPr>
        <w:t xml:space="preserve"> Sprache für </w:t>
      </w:r>
      <w:r w:rsidR="000B1119" w:rsidRPr="00252459">
        <w:rPr>
          <w:rFonts w:asciiTheme="majorBidi" w:hAnsiTheme="majorBidi" w:cstheme="majorBidi"/>
          <w:sz w:val="22"/>
          <w:szCs w:val="22"/>
        </w:rPr>
        <w:t xml:space="preserve">die Bewertung von Prüfungsleistungen herangezogen wird. </w:t>
      </w:r>
      <w:r w:rsidR="00E627DA" w:rsidRPr="00252459">
        <w:rPr>
          <w:rFonts w:asciiTheme="majorBidi" w:hAnsiTheme="majorBidi" w:cstheme="majorBidi"/>
          <w:sz w:val="22"/>
          <w:szCs w:val="22"/>
        </w:rPr>
        <w:t xml:space="preserve">Darüber hinaus </w:t>
      </w:r>
      <w:r w:rsidR="009C2EAD" w:rsidRPr="00252459">
        <w:rPr>
          <w:rFonts w:asciiTheme="majorBidi" w:hAnsiTheme="majorBidi" w:cstheme="majorBidi"/>
          <w:sz w:val="22"/>
          <w:szCs w:val="22"/>
        </w:rPr>
        <w:t xml:space="preserve">entwickelte die Gleichstellungskommission das Format von „Lunch </w:t>
      </w:r>
      <w:proofErr w:type="spellStart"/>
      <w:r w:rsidR="009C2EAD" w:rsidRPr="00252459">
        <w:rPr>
          <w:rFonts w:asciiTheme="majorBidi" w:hAnsiTheme="majorBidi" w:cstheme="majorBidi"/>
          <w:sz w:val="22"/>
          <w:szCs w:val="22"/>
        </w:rPr>
        <w:t>talks</w:t>
      </w:r>
      <w:proofErr w:type="spellEnd"/>
      <w:r w:rsidR="009C2EAD" w:rsidRPr="00252459">
        <w:rPr>
          <w:rFonts w:asciiTheme="majorBidi" w:hAnsiTheme="majorBidi" w:cstheme="majorBidi"/>
          <w:sz w:val="22"/>
          <w:szCs w:val="22"/>
        </w:rPr>
        <w:t xml:space="preserve">“, um </w:t>
      </w:r>
      <w:r w:rsidR="004A063B" w:rsidRPr="00252459">
        <w:rPr>
          <w:rFonts w:asciiTheme="majorBidi" w:hAnsiTheme="majorBidi" w:cstheme="majorBidi"/>
          <w:sz w:val="22"/>
          <w:szCs w:val="22"/>
        </w:rPr>
        <w:t xml:space="preserve">in einem niederschwelligen Format </w:t>
      </w:r>
      <w:r w:rsidR="009C2EAD" w:rsidRPr="00252459">
        <w:rPr>
          <w:rFonts w:asciiTheme="majorBidi" w:hAnsiTheme="majorBidi" w:cstheme="majorBidi"/>
          <w:sz w:val="22"/>
          <w:szCs w:val="22"/>
        </w:rPr>
        <w:t>statusübergreifend spezifische Belange möglicher Benachteiligungen anzusprechen</w:t>
      </w:r>
      <w:r w:rsidR="004A063B" w:rsidRPr="00252459">
        <w:rPr>
          <w:rFonts w:asciiTheme="majorBidi" w:hAnsiTheme="majorBidi" w:cstheme="majorBidi"/>
          <w:sz w:val="22"/>
          <w:szCs w:val="22"/>
        </w:rPr>
        <w:t xml:space="preserve">, </w:t>
      </w:r>
      <w:r w:rsidR="00244B72" w:rsidRPr="00252459">
        <w:rPr>
          <w:rFonts w:asciiTheme="majorBidi" w:hAnsiTheme="majorBidi" w:cstheme="majorBidi"/>
          <w:sz w:val="22"/>
          <w:szCs w:val="22"/>
        </w:rPr>
        <w:t xml:space="preserve">darüber </w:t>
      </w:r>
      <w:r w:rsidR="004A063B" w:rsidRPr="00252459">
        <w:rPr>
          <w:rFonts w:asciiTheme="majorBidi" w:hAnsiTheme="majorBidi" w:cstheme="majorBidi"/>
          <w:sz w:val="22"/>
          <w:szCs w:val="22"/>
        </w:rPr>
        <w:t xml:space="preserve">zu informieren und </w:t>
      </w:r>
      <w:r w:rsidR="00244B72" w:rsidRPr="00252459">
        <w:rPr>
          <w:rFonts w:asciiTheme="majorBidi" w:hAnsiTheme="majorBidi" w:cstheme="majorBidi"/>
          <w:sz w:val="22"/>
          <w:szCs w:val="22"/>
        </w:rPr>
        <w:t xml:space="preserve">dafür </w:t>
      </w:r>
      <w:r w:rsidR="004A063B" w:rsidRPr="00252459">
        <w:rPr>
          <w:rFonts w:asciiTheme="majorBidi" w:hAnsiTheme="majorBidi" w:cstheme="majorBidi"/>
          <w:sz w:val="22"/>
          <w:szCs w:val="22"/>
        </w:rPr>
        <w:t>z</w:t>
      </w:r>
      <w:r w:rsidR="004A063B" w:rsidRPr="00252459">
        <w:rPr>
          <w:rFonts w:asciiTheme="majorBidi" w:hAnsiTheme="majorBidi" w:cstheme="majorBidi"/>
        </w:rPr>
        <w:t xml:space="preserve">u sensibilisieren, </w:t>
      </w:r>
      <w:r w:rsidR="00E627DA" w:rsidRPr="00252459">
        <w:rPr>
          <w:rFonts w:asciiTheme="majorBidi" w:hAnsiTheme="majorBidi" w:cstheme="majorBidi"/>
          <w:sz w:val="22"/>
          <w:szCs w:val="22"/>
        </w:rPr>
        <w:t xml:space="preserve">(s.u. </w:t>
      </w:r>
      <w:r w:rsidR="00940F4F" w:rsidRPr="00252459">
        <w:rPr>
          <w:rFonts w:asciiTheme="majorBidi" w:hAnsiTheme="majorBidi" w:cstheme="majorBidi"/>
          <w:sz w:val="22"/>
          <w:szCs w:val="22"/>
        </w:rPr>
        <w:t>2.3 und 2.4</w:t>
      </w:r>
      <w:r w:rsidR="00E627DA" w:rsidRPr="00252459">
        <w:rPr>
          <w:rFonts w:asciiTheme="majorBidi" w:hAnsiTheme="majorBidi" w:cstheme="majorBidi"/>
          <w:sz w:val="22"/>
          <w:szCs w:val="22"/>
        </w:rPr>
        <w:t>)</w:t>
      </w:r>
      <w:r w:rsidR="009C2EAD" w:rsidRPr="00252459">
        <w:rPr>
          <w:rFonts w:asciiTheme="majorBidi" w:hAnsiTheme="majorBidi" w:cstheme="majorBidi"/>
          <w:sz w:val="22"/>
          <w:szCs w:val="22"/>
        </w:rPr>
        <w:t xml:space="preserve">. </w:t>
      </w:r>
    </w:p>
    <w:p w14:paraId="54CE6903" w14:textId="3494889F" w:rsidR="00AC70F1" w:rsidRPr="00252459" w:rsidRDefault="00AC70F1" w:rsidP="004A063B">
      <w:pPr>
        <w:pStyle w:val="Textkrper"/>
        <w:spacing w:line="276" w:lineRule="auto"/>
        <w:jc w:val="both"/>
        <w:rPr>
          <w:rFonts w:asciiTheme="majorBidi" w:hAnsiTheme="majorBidi" w:cstheme="majorBidi"/>
          <w:sz w:val="22"/>
          <w:szCs w:val="22"/>
        </w:rPr>
      </w:pPr>
      <w:r w:rsidRPr="00252459">
        <w:rPr>
          <w:rFonts w:asciiTheme="majorBidi" w:hAnsiTheme="majorBidi" w:cstheme="majorBidi"/>
          <w:sz w:val="22"/>
          <w:szCs w:val="22"/>
        </w:rPr>
        <w:lastRenderedPageBreak/>
        <w:t xml:space="preserve">Die Frauenbeauftragte und die Vorsitzende der Gleichstellungskommission konnten für das Jahr 2022 </w:t>
      </w:r>
      <w:r w:rsidR="007D22FF" w:rsidRPr="00252459">
        <w:rPr>
          <w:rFonts w:asciiTheme="majorBidi" w:hAnsiTheme="majorBidi" w:cstheme="majorBidi"/>
          <w:sz w:val="22"/>
          <w:szCs w:val="22"/>
        </w:rPr>
        <w:t xml:space="preserve">und </w:t>
      </w:r>
      <w:r w:rsidR="001E0BFF" w:rsidRPr="00252459">
        <w:rPr>
          <w:rFonts w:asciiTheme="majorBidi" w:hAnsiTheme="majorBidi" w:cstheme="majorBidi"/>
          <w:sz w:val="22"/>
          <w:szCs w:val="22"/>
        </w:rPr>
        <w:t xml:space="preserve">2023 </w:t>
      </w:r>
      <w:r w:rsidRPr="00252459">
        <w:rPr>
          <w:rFonts w:asciiTheme="majorBidi" w:hAnsiTheme="majorBidi" w:cstheme="majorBidi"/>
          <w:sz w:val="22"/>
          <w:szCs w:val="22"/>
        </w:rPr>
        <w:t xml:space="preserve">Drittmittel im Umfang von </w:t>
      </w:r>
      <w:r w:rsidR="006F56D6" w:rsidRPr="00252459">
        <w:rPr>
          <w:rFonts w:asciiTheme="majorBidi" w:hAnsiTheme="majorBidi" w:cstheme="majorBidi"/>
          <w:sz w:val="22"/>
          <w:szCs w:val="22"/>
        </w:rPr>
        <w:t>8</w:t>
      </w:r>
      <w:r w:rsidRPr="00252459">
        <w:rPr>
          <w:rFonts w:asciiTheme="majorBidi" w:hAnsiTheme="majorBidi" w:cstheme="majorBidi"/>
          <w:sz w:val="22"/>
          <w:szCs w:val="22"/>
        </w:rPr>
        <w:t>0</w:t>
      </w:r>
      <w:r w:rsidR="006F56D6" w:rsidRPr="00252459">
        <w:rPr>
          <w:rFonts w:asciiTheme="majorBidi" w:hAnsiTheme="majorBidi" w:cstheme="majorBidi"/>
          <w:sz w:val="22"/>
          <w:szCs w:val="22"/>
        </w:rPr>
        <w:t>5</w:t>
      </w:r>
      <w:r w:rsidRPr="00252459">
        <w:rPr>
          <w:rFonts w:asciiTheme="majorBidi" w:hAnsiTheme="majorBidi" w:cstheme="majorBidi"/>
          <w:sz w:val="22"/>
          <w:szCs w:val="22"/>
        </w:rPr>
        <w:t xml:space="preserve">0 Euro aus einer Förderlinie der Berlin University Alliance (BUA) zur Weiterentwicklung der Diversität einwerben. Mit diesen Geldern </w:t>
      </w:r>
      <w:r w:rsidR="000A47D9" w:rsidRPr="00252459">
        <w:rPr>
          <w:rFonts w:asciiTheme="majorBidi" w:hAnsiTheme="majorBidi" w:cstheme="majorBidi"/>
          <w:sz w:val="22"/>
          <w:szCs w:val="22"/>
        </w:rPr>
        <w:t xml:space="preserve">wurden </w:t>
      </w:r>
      <w:r w:rsidR="00736E68" w:rsidRPr="00252459">
        <w:rPr>
          <w:rFonts w:asciiTheme="majorBidi" w:hAnsiTheme="majorBidi" w:cstheme="majorBidi"/>
          <w:sz w:val="22"/>
          <w:szCs w:val="22"/>
        </w:rPr>
        <w:t xml:space="preserve">die Vernissage zur Ausstellung des </w:t>
      </w:r>
      <w:r w:rsidRPr="00252459">
        <w:rPr>
          <w:rFonts w:asciiTheme="majorBidi" w:hAnsiTheme="majorBidi" w:cstheme="majorBidi"/>
          <w:sz w:val="22"/>
          <w:szCs w:val="22"/>
        </w:rPr>
        <w:t>Projekt</w:t>
      </w:r>
      <w:r w:rsidR="00736E68" w:rsidRPr="00252459">
        <w:rPr>
          <w:rFonts w:asciiTheme="majorBidi" w:hAnsiTheme="majorBidi" w:cstheme="majorBidi"/>
          <w:sz w:val="22"/>
          <w:szCs w:val="22"/>
        </w:rPr>
        <w:t>s</w:t>
      </w:r>
      <w:r w:rsidRPr="00252459">
        <w:rPr>
          <w:rFonts w:asciiTheme="majorBidi" w:hAnsiTheme="majorBidi" w:cstheme="majorBidi"/>
          <w:sz w:val="22"/>
          <w:szCs w:val="22"/>
        </w:rPr>
        <w:t xml:space="preserve"> „Frauen*stimmen“ (s. 2.2.) und die Unterstützung der Erstakademiker*innen (s. 2.5) </w:t>
      </w:r>
      <w:r w:rsidR="006F56D6" w:rsidRPr="00252459">
        <w:rPr>
          <w:rFonts w:asciiTheme="majorBidi" w:hAnsiTheme="majorBidi" w:cstheme="majorBidi"/>
          <w:sz w:val="22"/>
          <w:szCs w:val="22"/>
        </w:rPr>
        <w:t xml:space="preserve">sowie die </w:t>
      </w:r>
      <w:r w:rsidR="002F20DB" w:rsidRPr="00252459">
        <w:rPr>
          <w:rFonts w:asciiTheme="majorBidi" w:hAnsiTheme="majorBidi" w:cstheme="majorBidi"/>
          <w:sz w:val="22"/>
          <w:szCs w:val="22"/>
        </w:rPr>
        <w:t xml:space="preserve">Ringvorlesung </w:t>
      </w:r>
      <w:r w:rsidR="00940F4F" w:rsidRPr="00252459">
        <w:rPr>
          <w:rFonts w:asciiTheme="majorBidi" w:hAnsiTheme="majorBidi" w:cstheme="majorBidi"/>
          <w:sz w:val="22"/>
          <w:szCs w:val="22"/>
        </w:rPr>
        <w:t xml:space="preserve">zu </w:t>
      </w:r>
      <w:r w:rsidR="00940F4F" w:rsidRPr="00252459">
        <w:rPr>
          <w:rFonts w:asciiTheme="majorBidi" w:hAnsiTheme="majorBidi"/>
        </w:rPr>
        <w:t>„Religion*</w:t>
      </w:r>
      <w:r w:rsidR="00041047" w:rsidRPr="00252459">
        <w:rPr>
          <w:rFonts w:asciiTheme="majorBidi" w:hAnsiTheme="majorBidi"/>
        </w:rPr>
        <w:t xml:space="preserve"> – </w:t>
      </w:r>
      <w:r w:rsidR="00940F4F" w:rsidRPr="00252459">
        <w:rPr>
          <w:rFonts w:asciiTheme="majorBidi" w:hAnsiTheme="majorBidi"/>
        </w:rPr>
        <w:t>Geschlecht*</w:t>
      </w:r>
      <w:r w:rsidR="00041047" w:rsidRPr="00252459">
        <w:rPr>
          <w:rFonts w:asciiTheme="majorBidi" w:hAnsiTheme="majorBidi"/>
        </w:rPr>
        <w:t xml:space="preserve"> – </w:t>
      </w:r>
      <w:r w:rsidR="00940F4F" w:rsidRPr="00252459">
        <w:rPr>
          <w:rFonts w:asciiTheme="majorBidi" w:hAnsiTheme="majorBidi"/>
        </w:rPr>
        <w:t xml:space="preserve">Hermeneutik“ im </w:t>
      </w:r>
      <w:r w:rsidR="00DC1F7C" w:rsidRPr="00252459">
        <w:rPr>
          <w:rFonts w:asciiTheme="majorBidi" w:hAnsiTheme="majorBidi" w:cstheme="majorBidi"/>
          <w:sz w:val="22"/>
          <w:szCs w:val="22"/>
        </w:rPr>
        <w:t xml:space="preserve">WS 22/23 </w:t>
      </w:r>
      <w:r w:rsidR="00940F4F" w:rsidRPr="00252459">
        <w:rPr>
          <w:rFonts w:asciiTheme="majorBidi" w:hAnsiTheme="majorBidi" w:cstheme="majorBidi"/>
          <w:sz w:val="22"/>
          <w:szCs w:val="22"/>
        </w:rPr>
        <w:t>(s. 2.1) gefördert</w:t>
      </w:r>
      <w:r w:rsidR="00736E68" w:rsidRPr="00252459">
        <w:rPr>
          <w:rFonts w:asciiTheme="majorBidi" w:hAnsiTheme="majorBidi" w:cstheme="majorBidi"/>
          <w:sz w:val="22"/>
          <w:szCs w:val="22"/>
        </w:rPr>
        <w:t>.</w:t>
      </w:r>
    </w:p>
    <w:p w14:paraId="0D9F7E25" w14:textId="77777777" w:rsidR="00AC70F1" w:rsidRPr="00252459" w:rsidRDefault="00AC70F1" w:rsidP="00AC70F1">
      <w:pPr>
        <w:pStyle w:val="Textkrper"/>
        <w:spacing w:line="276" w:lineRule="auto"/>
        <w:jc w:val="both"/>
        <w:rPr>
          <w:rFonts w:asciiTheme="majorBidi" w:hAnsiTheme="majorBidi" w:cstheme="majorBidi"/>
          <w:sz w:val="22"/>
          <w:szCs w:val="22"/>
        </w:rPr>
      </w:pPr>
    </w:p>
    <w:p w14:paraId="3AB7140E" w14:textId="77777777" w:rsidR="00AC70F1" w:rsidRPr="00252459" w:rsidRDefault="00AC70F1" w:rsidP="00AC70F1">
      <w:pPr>
        <w:pStyle w:val="Textkrper"/>
        <w:spacing w:line="276" w:lineRule="auto"/>
        <w:jc w:val="both"/>
        <w:rPr>
          <w:rFonts w:asciiTheme="majorBidi" w:hAnsiTheme="majorBidi" w:cstheme="majorBidi"/>
          <w:b/>
          <w:bCs/>
          <w:sz w:val="22"/>
          <w:szCs w:val="22"/>
        </w:rPr>
      </w:pPr>
      <w:r w:rsidRPr="00252459">
        <w:rPr>
          <w:rFonts w:asciiTheme="majorBidi" w:hAnsiTheme="majorBidi" w:cstheme="majorBidi"/>
          <w:b/>
          <w:bCs/>
          <w:sz w:val="22"/>
          <w:szCs w:val="22"/>
        </w:rPr>
        <w:t xml:space="preserve">1.3. Diversitäts- und Antidiskriminierungsbeauftragte </w:t>
      </w:r>
    </w:p>
    <w:p w14:paraId="1C8922EC" w14:textId="59E46E4D" w:rsidR="00AC70F1" w:rsidRPr="00252459" w:rsidRDefault="00AC70F1" w:rsidP="004F7685">
      <w:pPr>
        <w:pStyle w:val="Textkrper"/>
        <w:spacing w:line="276" w:lineRule="auto"/>
        <w:jc w:val="both"/>
        <w:rPr>
          <w:sz w:val="22"/>
          <w:szCs w:val="22"/>
        </w:rPr>
      </w:pPr>
      <w:r w:rsidRPr="00252459">
        <w:rPr>
          <w:sz w:val="22"/>
          <w:szCs w:val="22"/>
        </w:rPr>
        <w:t xml:space="preserve">Das </w:t>
      </w:r>
      <w:proofErr w:type="spellStart"/>
      <w:r w:rsidRPr="00252459">
        <w:rPr>
          <w:sz w:val="22"/>
          <w:szCs w:val="22"/>
        </w:rPr>
        <w:t>BerlHG</w:t>
      </w:r>
      <w:proofErr w:type="spellEnd"/>
      <w:r w:rsidRPr="00252459">
        <w:rPr>
          <w:sz w:val="22"/>
          <w:szCs w:val="22"/>
        </w:rPr>
        <w:t xml:space="preserve"> von 2021 sieht in § 59a die Einsetzung einer für Diversität und Antidiskriminierung zuständigen Person auf zentraler Ebene sowie dezentral für alle Fachbereiche und Zentraleinrichtungen vor. Derzeit </w:t>
      </w:r>
      <w:r w:rsidR="00502536" w:rsidRPr="00252459">
        <w:rPr>
          <w:sz w:val="22"/>
          <w:szCs w:val="22"/>
        </w:rPr>
        <w:t>er</w:t>
      </w:r>
      <w:r w:rsidR="004F7685" w:rsidRPr="00252459">
        <w:rPr>
          <w:sz w:val="22"/>
          <w:szCs w:val="22"/>
        </w:rPr>
        <w:t xml:space="preserve">arbeiten die Gremien eine </w:t>
      </w:r>
      <w:r w:rsidRPr="00252459">
        <w:rPr>
          <w:sz w:val="22"/>
          <w:szCs w:val="22"/>
        </w:rPr>
        <w:t xml:space="preserve">Umsetzung </w:t>
      </w:r>
      <w:r w:rsidR="004F7685" w:rsidRPr="00252459">
        <w:rPr>
          <w:sz w:val="22"/>
          <w:szCs w:val="22"/>
        </w:rPr>
        <w:t>der Richtlinie, ggf. in Zusammenarbeit mit den anderen theologischen Einrichtungen</w:t>
      </w:r>
      <w:r w:rsidRPr="00252459">
        <w:rPr>
          <w:sz w:val="22"/>
          <w:szCs w:val="22"/>
        </w:rPr>
        <w:t>. Die Theologische Fakultät bemüht sich, den in § 5b „Hochschule der Vielfalt“ Absatz 1 und 2 formulierten Anliegen gerecht zu werden. Bis dahin nehmen sich die Frauen</w:t>
      </w:r>
      <w:r w:rsidR="001F3B9C" w:rsidRPr="00252459">
        <w:rPr>
          <w:sz w:val="22"/>
          <w:szCs w:val="22"/>
        </w:rPr>
        <w:t xml:space="preserve">- und Gleichstellungsbeauftragten </w:t>
      </w:r>
      <w:r w:rsidRPr="00252459">
        <w:rPr>
          <w:sz w:val="22"/>
          <w:szCs w:val="22"/>
        </w:rPr>
        <w:t xml:space="preserve">und die Gleichstellungskommission der Aufgaben an. </w:t>
      </w:r>
    </w:p>
    <w:p w14:paraId="540D764C" w14:textId="027BF0D2" w:rsidR="00AC70F1" w:rsidRPr="00252459" w:rsidRDefault="00AC70F1" w:rsidP="00AC70F1">
      <w:pPr>
        <w:pStyle w:val="berschrift2"/>
        <w:spacing w:line="276" w:lineRule="auto"/>
        <w:ind w:left="0"/>
        <w:rPr>
          <w:rFonts w:asciiTheme="majorBidi" w:hAnsiTheme="majorBidi" w:cstheme="majorBidi"/>
          <w:sz w:val="22"/>
          <w:szCs w:val="22"/>
        </w:rPr>
      </w:pPr>
    </w:p>
    <w:p w14:paraId="67D2692D" w14:textId="77777777" w:rsidR="007B5049" w:rsidRPr="00252459" w:rsidRDefault="007B5049" w:rsidP="007B5049"/>
    <w:p w14:paraId="23803527" w14:textId="77777777" w:rsidR="00AC70F1" w:rsidRPr="00252459" w:rsidRDefault="00AC70F1" w:rsidP="00AC70F1">
      <w:pPr>
        <w:spacing w:line="276" w:lineRule="auto"/>
        <w:rPr>
          <w:rFonts w:asciiTheme="majorBidi" w:hAnsiTheme="majorBidi" w:cstheme="majorBidi"/>
          <w:b/>
          <w:bCs/>
        </w:rPr>
      </w:pPr>
      <w:r w:rsidRPr="00252459">
        <w:rPr>
          <w:rFonts w:asciiTheme="majorBidi" w:hAnsiTheme="majorBidi" w:cstheme="majorBidi"/>
          <w:b/>
          <w:bCs/>
        </w:rPr>
        <w:t>2. Evaluation der Maßnahmen und Mittel zur Gleichstellung und Perspektiven</w:t>
      </w:r>
    </w:p>
    <w:p w14:paraId="6F079DD1" w14:textId="77777777" w:rsidR="002A4A3D" w:rsidRPr="00252459" w:rsidRDefault="002A4A3D" w:rsidP="00AC70F1">
      <w:pPr>
        <w:spacing w:line="276" w:lineRule="auto"/>
        <w:rPr>
          <w:rFonts w:asciiTheme="majorBidi" w:hAnsiTheme="majorBidi" w:cstheme="majorBidi"/>
          <w:b/>
          <w:bCs/>
        </w:rPr>
      </w:pPr>
    </w:p>
    <w:p w14:paraId="0883D018" w14:textId="22B5B0D4" w:rsidR="00AC70F1" w:rsidRPr="00252459" w:rsidRDefault="00AC70F1" w:rsidP="00AC70F1">
      <w:pPr>
        <w:spacing w:line="276" w:lineRule="auto"/>
        <w:jc w:val="both"/>
        <w:rPr>
          <w:rFonts w:asciiTheme="majorBidi" w:hAnsiTheme="majorBidi" w:cstheme="majorBidi"/>
          <w:b/>
          <w:bCs/>
        </w:rPr>
      </w:pPr>
      <w:r w:rsidRPr="00252459">
        <w:rPr>
          <w:rFonts w:asciiTheme="majorBidi" w:hAnsiTheme="majorBidi" w:cstheme="majorBidi"/>
          <w:b/>
          <w:bCs/>
        </w:rPr>
        <w:t>2.1 Genderthemen in Theologie und Religionsforschung</w:t>
      </w:r>
      <w:r w:rsidR="001914A1" w:rsidRPr="00252459">
        <w:rPr>
          <w:rFonts w:asciiTheme="majorBidi" w:hAnsiTheme="majorBidi" w:cstheme="majorBidi"/>
          <w:b/>
          <w:bCs/>
        </w:rPr>
        <w:t xml:space="preserve"> </w:t>
      </w:r>
    </w:p>
    <w:p w14:paraId="43D2E1AA" w14:textId="23943090" w:rsidR="00AC70F1" w:rsidRPr="00252459" w:rsidRDefault="00AC70F1" w:rsidP="00AC70F1">
      <w:pPr>
        <w:spacing w:line="276" w:lineRule="auto"/>
        <w:jc w:val="both"/>
        <w:rPr>
          <w:rFonts w:asciiTheme="majorBidi" w:hAnsiTheme="majorBidi" w:cstheme="majorBidi"/>
        </w:rPr>
      </w:pPr>
      <w:r w:rsidRPr="00252459">
        <w:rPr>
          <w:rFonts w:asciiTheme="majorBidi" w:hAnsiTheme="majorBidi" w:cstheme="majorBidi"/>
        </w:rPr>
        <w:t xml:space="preserve">Ein zentrales Mittel für die Gleichstellung ist die Einbeziehung von historischen und aktuellen Genderdiskursen und Konzepten von Diversität in die Lehre der unterschiedlichen Studiengänge der Fakultät, um die Bedeutung von Frauen* und anderen strukturell marginalisierten Gruppen </w:t>
      </w:r>
      <w:r w:rsidR="00E617EB" w:rsidRPr="00252459">
        <w:rPr>
          <w:rFonts w:asciiTheme="majorBidi" w:hAnsiTheme="majorBidi" w:cstheme="majorBidi"/>
        </w:rPr>
        <w:t xml:space="preserve">aus </w:t>
      </w:r>
      <w:r w:rsidRPr="00252459">
        <w:rPr>
          <w:rFonts w:asciiTheme="majorBidi" w:hAnsiTheme="majorBidi" w:cstheme="majorBidi"/>
        </w:rPr>
        <w:t>fachlicher Perspektive sichtbar zu machen und die Bedeutung der Diskurse für die Praxis von Theologie und Religionswissenschaften herauszustellen. Gemäß dem Beschluss des Fakultätsrats vom 10.06.2020 übernehmen alle Seminare der Theologischen Fakultät Verantwortung für die Sicherstellung von Lehr</w:t>
      </w:r>
      <w:r w:rsidRPr="00252459">
        <w:rPr>
          <w:rFonts w:asciiTheme="majorBidi" w:hAnsiTheme="majorBidi" w:cstheme="majorBidi"/>
        </w:rPr>
        <w:softHyphen/>
        <w:t xml:space="preserve">veranstaltungen zu Genderthemen. Entsprechend diesem Beschluss soll die Fakultät in der Lehrplanung gemäß dem in der Kommission für Studium und Lehre beschlossenen Verfahren die Verantwortung für die Sicherstellung des Lehrangebots durch die Seminare rollieren lassen. </w:t>
      </w:r>
    </w:p>
    <w:p w14:paraId="0C281266" w14:textId="1B30EEE9" w:rsidR="00AC70F1" w:rsidRPr="00252459" w:rsidRDefault="00F86452" w:rsidP="00A34CC3">
      <w:pPr>
        <w:spacing w:line="276" w:lineRule="auto"/>
        <w:jc w:val="both"/>
      </w:pPr>
      <w:r w:rsidRPr="00252459">
        <w:t xml:space="preserve">Ein wichtiger Meilenstein für die Berücksichtigung von Genderfragen in Studium und Lehre ist die Besetzung einer Professur mit einer solchen Schwerpunktsetzung. Die </w:t>
      </w:r>
      <w:r w:rsidR="003816BA" w:rsidRPr="00252459">
        <w:t xml:space="preserve">Fakultät </w:t>
      </w:r>
      <w:r w:rsidRPr="00252459">
        <w:t xml:space="preserve">konnte </w:t>
      </w:r>
      <w:r w:rsidR="003816BA" w:rsidRPr="00252459">
        <w:t>im Oktober 2023, nach erfolgreicher Bewerbung um Frauenfördermittel der Kommission für Frauenförderung der Humboldt-Universität zu Berlin, eine Professur in Systematischer Theologie (W2) zur vorgezogenen Nachfolgebesetzung mit der Denomination „Dogmatik mit einem Schwerpunkt in Gender Studies“</w:t>
      </w:r>
      <w:r w:rsidRPr="00252459">
        <w:t xml:space="preserve"> </w:t>
      </w:r>
      <w:r w:rsidR="00A34CC3" w:rsidRPr="00252459">
        <w:t xml:space="preserve">ausschreiben </w:t>
      </w:r>
      <w:r w:rsidRPr="00252459">
        <w:t xml:space="preserve">und das Besetzungsverfahren </w:t>
      </w:r>
      <w:r w:rsidR="00A34CC3" w:rsidRPr="00252459">
        <w:t xml:space="preserve">im </w:t>
      </w:r>
      <w:proofErr w:type="spellStart"/>
      <w:r w:rsidR="00A34CC3" w:rsidRPr="00252459">
        <w:t>SoSe</w:t>
      </w:r>
      <w:proofErr w:type="spellEnd"/>
      <w:r w:rsidR="00A34CC3" w:rsidRPr="00252459">
        <w:t xml:space="preserve"> 2024 </w:t>
      </w:r>
      <w:r w:rsidRPr="00252459">
        <w:t xml:space="preserve">zum Abschluss </w:t>
      </w:r>
      <w:r w:rsidR="00D02D19" w:rsidRPr="00252459">
        <w:t>bringen.</w:t>
      </w:r>
      <w:r w:rsidR="003816BA" w:rsidRPr="00252459">
        <w:t xml:space="preserve"> </w:t>
      </w:r>
    </w:p>
    <w:p w14:paraId="65171A50" w14:textId="217835D2" w:rsidR="00564B25" w:rsidRPr="00252459" w:rsidRDefault="00A906A1" w:rsidP="00782D5F">
      <w:pPr>
        <w:spacing w:line="276" w:lineRule="auto"/>
        <w:jc w:val="both"/>
        <w:rPr>
          <w:rFonts w:asciiTheme="majorBidi" w:hAnsiTheme="majorBidi"/>
        </w:rPr>
      </w:pPr>
      <w:r w:rsidRPr="00252459">
        <w:t xml:space="preserve">Im </w:t>
      </w:r>
      <w:proofErr w:type="spellStart"/>
      <w:r w:rsidRPr="00252459">
        <w:t>WiSe</w:t>
      </w:r>
      <w:proofErr w:type="spellEnd"/>
      <w:r w:rsidRPr="00252459">
        <w:t xml:space="preserve"> 2022/23 wurde in Zusammenarbeit mit Kolleg*innen vom Institut für Katholische Theologie und vom Berliner Institut für Islamische Theologie </w:t>
      </w:r>
      <w:r w:rsidR="00782D5F" w:rsidRPr="00252459">
        <w:t xml:space="preserve">eine Ringvorlesung zum Thema </w:t>
      </w:r>
      <w:r w:rsidR="00782D5F" w:rsidRPr="00252459">
        <w:rPr>
          <w:rFonts w:asciiTheme="majorBidi" w:hAnsiTheme="majorBidi"/>
        </w:rPr>
        <w:t>„Religion*</w:t>
      </w:r>
      <w:r w:rsidR="00041047" w:rsidRPr="00252459">
        <w:rPr>
          <w:rFonts w:asciiTheme="majorBidi" w:hAnsiTheme="majorBidi"/>
        </w:rPr>
        <w:t xml:space="preserve"> – </w:t>
      </w:r>
      <w:r w:rsidR="00782D5F" w:rsidRPr="00252459">
        <w:rPr>
          <w:rFonts w:asciiTheme="majorBidi" w:hAnsiTheme="majorBidi"/>
        </w:rPr>
        <w:t>Geschlecht*</w:t>
      </w:r>
      <w:r w:rsidR="00041047" w:rsidRPr="00252459">
        <w:rPr>
          <w:rFonts w:asciiTheme="majorBidi" w:hAnsiTheme="majorBidi"/>
        </w:rPr>
        <w:t xml:space="preserve"> – </w:t>
      </w:r>
      <w:r w:rsidR="00782D5F" w:rsidRPr="00252459">
        <w:rPr>
          <w:rFonts w:asciiTheme="majorBidi" w:hAnsiTheme="majorBidi"/>
        </w:rPr>
        <w:t>Hermeneutik“ durchgeführt, für die neben Lehrenden der Humboldt-Universität auch international ausgewiesene Fachpersonen als Referent*innen gewonnen werden konnten.</w:t>
      </w:r>
      <w:r w:rsidR="00FD6CCF" w:rsidRPr="00252459">
        <w:rPr>
          <w:rFonts w:asciiTheme="majorBidi" w:hAnsiTheme="majorBidi"/>
        </w:rPr>
        <w:t xml:space="preserve"> </w:t>
      </w:r>
    </w:p>
    <w:p w14:paraId="40987D83" w14:textId="4E852632" w:rsidR="00CC080E" w:rsidRPr="00252459" w:rsidRDefault="00AC70F1" w:rsidP="00782D5F">
      <w:pPr>
        <w:spacing w:line="276" w:lineRule="auto"/>
        <w:jc w:val="both"/>
        <w:rPr>
          <w:rFonts w:asciiTheme="majorBidi" w:hAnsiTheme="majorBidi"/>
        </w:rPr>
      </w:pPr>
      <w:r w:rsidRPr="00252459">
        <w:rPr>
          <w:rFonts w:asciiTheme="majorBidi" w:hAnsiTheme="majorBidi" w:cstheme="majorBidi"/>
        </w:rPr>
        <w:t>Die Vernetzung der Fakultät mit dem Zentrum für transdisziplinäre Geschlechterstudien (</w:t>
      </w:r>
      <w:proofErr w:type="spellStart"/>
      <w:r w:rsidRPr="00252459">
        <w:rPr>
          <w:rFonts w:asciiTheme="majorBidi" w:hAnsiTheme="majorBidi" w:cstheme="majorBidi"/>
        </w:rPr>
        <w:t>ZtG</w:t>
      </w:r>
      <w:proofErr w:type="spellEnd"/>
      <w:r w:rsidRPr="00252459">
        <w:rPr>
          <w:rFonts w:asciiTheme="majorBidi" w:hAnsiTheme="majorBidi" w:cstheme="majorBidi"/>
        </w:rPr>
        <w:t xml:space="preserve">) konnte durch eine </w:t>
      </w:r>
      <w:r w:rsidR="003816BA" w:rsidRPr="00252459">
        <w:rPr>
          <w:rFonts w:asciiTheme="majorBidi" w:hAnsiTheme="majorBidi" w:cstheme="majorBidi"/>
        </w:rPr>
        <w:t>Zusammenarbeit zwischen Prof. Dr. C. Gerber (Zweitmitgliedschaft</w:t>
      </w:r>
      <w:r w:rsidR="00D86ED0" w:rsidRPr="00252459">
        <w:rPr>
          <w:rFonts w:asciiTheme="majorBidi" w:hAnsiTheme="majorBidi" w:cstheme="majorBidi"/>
        </w:rPr>
        <w:t xml:space="preserve"> beim </w:t>
      </w:r>
      <w:proofErr w:type="spellStart"/>
      <w:r w:rsidR="00D86ED0" w:rsidRPr="00252459">
        <w:rPr>
          <w:rFonts w:asciiTheme="majorBidi" w:hAnsiTheme="majorBidi" w:cstheme="majorBidi"/>
        </w:rPr>
        <w:t>ZtG</w:t>
      </w:r>
      <w:proofErr w:type="spellEnd"/>
      <w:r w:rsidR="003816BA" w:rsidRPr="00252459">
        <w:rPr>
          <w:rFonts w:asciiTheme="majorBidi" w:hAnsiTheme="majorBidi" w:cstheme="majorBidi"/>
        </w:rPr>
        <w:t xml:space="preserve">) und der Frauen- und Gleichstellungsbeauftragte intensiviert werden. </w:t>
      </w:r>
      <w:r w:rsidR="00F86452" w:rsidRPr="00252459">
        <w:rPr>
          <w:rFonts w:asciiTheme="majorBidi" w:hAnsiTheme="majorBidi" w:cstheme="majorBidi"/>
        </w:rPr>
        <w:t xml:space="preserve">Beide </w:t>
      </w:r>
      <w:r w:rsidR="003816BA" w:rsidRPr="00252459">
        <w:rPr>
          <w:rFonts w:asciiTheme="majorBidi" w:hAnsiTheme="majorBidi" w:cstheme="majorBidi"/>
        </w:rPr>
        <w:t xml:space="preserve">Mitglieder der Theologischen Fakultät </w:t>
      </w:r>
      <w:r w:rsidR="00F86452" w:rsidRPr="00252459">
        <w:rPr>
          <w:rFonts w:asciiTheme="majorBidi" w:hAnsiTheme="majorBidi" w:cstheme="majorBidi"/>
        </w:rPr>
        <w:t xml:space="preserve">wirkten an der Planung und Durchführung eines </w:t>
      </w:r>
      <w:r w:rsidR="00CC080E" w:rsidRPr="00252459">
        <w:rPr>
          <w:rFonts w:asciiTheme="majorBidi" w:hAnsiTheme="majorBidi"/>
        </w:rPr>
        <w:t>Kolloquium</w:t>
      </w:r>
      <w:r w:rsidR="00F86452" w:rsidRPr="00252459">
        <w:rPr>
          <w:rFonts w:asciiTheme="majorBidi" w:hAnsiTheme="majorBidi"/>
        </w:rPr>
        <w:t>s</w:t>
      </w:r>
      <w:r w:rsidR="00CC080E" w:rsidRPr="00252459">
        <w:rPr>
          <w:rFonts w:asciiTheme="majorBidi" w:hAnsiTheme="majorBidi"/>
        </w:rPr>
        <w:t xml:space="preserve"> des Zentrums für transdisziplinäre Geschlechterstudien </w:t>
      </w:r>
      <w:r w:rsidR="00F86452" w:rsidRPr="00252459">
        <w:rPr>
          <w:rFonts w:asciiTheme="majorBidi" w:hAnsiTheme="majorBidi"/>
        </w:rPr>
        <w:t xml:space="preserve">mit, </w:t>
      </w:r>
      <w:proofErr w:type="gramStart"/>
      <w:r w:rsidR="00F86452" w:rsidRPr="00252459">
        <w:rPr>
          <w:rFonts w:asciiTheme="majorBidi" w:hAnsiTheme="majorBidi"/>
        </w:rPr>
        <w:t>das</w:t>
      </w:r>
      <w:proofErr w:type="gramEnd"/>
      <w:r w:rsidR="00F86452" w:rsidRPr="00252459">
        <w:rPr>
          <w:rFonts w:asciiTheme="majorBidi" w:hAnsiTheme="majorBidi"/>
        </w:rPr>
        <w:t xml:space="preserve"> vom 14.-15.12.2023 </w:t>
      </w:r>
      <w:r w:rsidR="00CC080E" w:rsidRPr="00252459">
        <w:rPr>
          <w:rFonts w:asciiTheme="majorBidi" w:hAnsiTheme="majorBidi"/>
        </w:rPr>
        <w:t>unter de</w:t>
      </w:r>
      <w:r w:rsidR="00F86452" w:rsidRPr="00252459">
        <w:rPr>
          <w:rFonts w:asciiTheme="majorBidi" w:hAnsiTheme="majorBidi"/>
        </w:rPr>
        <w:t xml:space="preserve">m Thema </w:t>
      </w:r>
      <w:r w:rsidR="00CC080E" w:rsidRPr="00252459">
        <w:rPr>
          <w:rFonts w:asciiTheme="majorBidi" w:hAnsiTheme="majorBidi"/>
        </w:rPr>
        <w:t>„Ehe – Sexualität – Reproduktion. Religiöse An- und Widersprüche“ statt</w:t>
      </w:r>
      <w:r w:rsidR="00F86452" w:rsidRPr="00252459">
        <w:rPr>
          <w:rFonts w:asciiTheme="majorBidi" w:hAnsiTheme="majorBidi"/>
        </w:rPr>
        <w:t>fand</w:t>
      </w:r>
      <w:r w:rsidR="00CC080E" w:rsidRPr="00252459">
        <w:rPr>
          <w:rFonts w:asciiTheme="majorBidi" w:hAnsiTheme="majorBidi"/>
        </w:rPr>
        <w:t>.</w:t>
      </w:r>
    </w:p>
    <w:p w14:paraId="2A10FDB1" w14:textId="77777777" w:rsidR="008C6ED1" w:rsidRPr="00252459" w:rsidRDefault="008C6ED1" w:rsidP="00AC70F1">
      <w:pPr>
        <w:spacing w:line="276" w:lineRule="auto"/>
        <w:jc w:val="both"/>
        <w:rPr>
          <w:rFonts w:asciiTheme="majorBidi" w:hAnsiTheme="majorBidi" w:cstheme="majorBidi"/>
          <w:b/>
          <w:bCs/>
        </w:rPr>
      </w:pPr>
    </w:p>
    <w:p w14:paraId="026E7B57" w14:textId="393464EF" w:rsidR="00AC70F1" w:rsidRPr="00252459" w:rsidRDefault="00AC70F1" w:rsidP="00AC70F1">
      <w:pPr>
        <w:spacing w:line="276" w:lineRule="auto"/>
        <w:jc w:val="both"/>
        <w:rPr>
          <w:rFonts w:asciiTheme="majorBidi" w:hAnsiTheme="majorBidi" w:cstheme="majorBidi"/>
          <w:b/>
          <w:bCs/>
        </w:rPr>
      </w:pPr>
      <w:r w:rsidRPr="00252459">
        <w:rPr>
          <w:rFonts w:asciiTheme="majorBidi" w:hAnsiTheme="majorBidi" w:cstheme="majorBidi"/>
          <w:b/>
          <w:bCs/>
        </w:rPr>
        <w:t>2.2 Frauen*</w:t>
      </w:r>
      <w:proofErr w:type="spellStart"/>
      <w:r w:rsidRPr="00252459">
        <w:rPr>
          <w:rFonts w:asciiTheme="majorBidi" w:hAnsiTheme="majorBidi" w:cstheme="majorBidi"/>
          <w:b/>
          <w:bCs/>
        </w:rPr>
        <w:t>förderung</w:t>
      </w:r>
      <w:proofErr w:type="spellEnd"/>
    </w:p>
    <w:p w14:paraId="637E5E4B" w14:textId="2929D2A5" w:rsidR="00AC70F1" w:rsidRPr="00252459" w:rsidRDefault="00AC70F1" w:rsidP="009E12B1">
      <w:pPr>
        <w:spacing w:line="276" w:lineRule="auto"/>
        <w:jc w:val="both"/>
        <w:rPr>
          <w:rFonts w:asciiTheme="majorBidi" w:hAnsiTheme="majorBidi" w:cstheme="majorBidi"/>
        </w:rPr>
      </w:pPr>
      <w:r w:rsidRPr="00252459">
        <w:rPr>
          <w:rFonts w:asciiTheme="majorBidi" w:hAnsiTheme="majorBidi" w:cstheme="majorBidi"/>
        </w:rPr>
        <w:t>Das Gender-Sternchen im Begriff Frauen*</w:t>
      </w:r>
      <w:proofErr w:type="spellStart"/>
      <w:r w:rsidRPr="00252459">
        <w:rPr>
          <w:rFonts w:asciiTheme="majorBidi" w:hAnsiTheme="majorBidi" w:cstheme="majorBidi"/>
        </w:rPr>
        <w:t>förderung</w:t>
      </w:r>
      <w:proofErr w:type="spellEnd"/>
      <w:r w:rsidRPr="00252459">
        <w:rPr>
          <w:rFonts w:asciiTheme="majorBidi" w:hAnsiTheme="majorBidi" w:cstheme="majorBidi"/>
        </w:rPr>
        <w:t xml:space="preserve"> (Frauen*) </w:t>
      </w:r>
      <w:r w:rsidR="009E12B1" w:rsidRPr="00252459">
        <w:rPr>
          <w:rFonts w:asciiTheme="majorBidi" w:hAnsiTheme="majorBidi" w:cstheme="majorBidi"/>
        </w:rPr>
        <w:t xml:space="preserve">weist </w:t>
      </w:r>
      <w:r w:rsidRPr="00252459">
        <w:rPr>
          <w:rFonts w:asciiTheme="majorBidi" w:hAnsiTheme="majorBidi" w:cstheme="majorBidi"/>
        </w:rPr>
        <w:t>auf den Konstruktionscharakter von Geschlecht</w:t>
      </w:r>
      <w:r w:rsidR="00A12AF8" w:rsidRPr="00252459">
        <w:rPr>
          <w:rFonts w:asciiTheme="majorBidi" w:hAnsiTheme="majorBidi" w:cstheme="majorBidi"/>
        </w:rPr>
        <w:t xml:space="preserve"> hin</w:t>
      </w:r>
      <w:r w:rsidR="009259D9" w:rsidRPr="00252459">
        <w:rPr>
          <w:rFonts w:asciiTheme="majorBidi" w:hAnsiTheme="majorBidi" w:cstheme="majorBidi"/>
        </w:rPr>
        <w:t>.</w:t>
      </w:r>
      <w:r w:rsidRPr="00252459">
        <w:rPr>
          <w:rFonts w:asciiTheme="majorBidi" w:hAnsiTheme="majorBidi" w:cstheme="majorBidi"/>
        </w:rPr>
        <w:t xml:space="preserve"> Alle Personen, die sich als „Frau“ definieren, als „Frau“ gelesen werden und / oder sich von der Bezeichnung „Frau“ repräsentiert fühlen, können auf die </w:t>
      </w:r>
      <w:proofErr w:type="gramStart"/>
      <w:r w:rsidRPr="00252459">
        <w:rPr>
          <w:rFonts w:asciiTheme="majorBidi" w:hAnsiTheme="majorBidi" w:cstheme="majorBidi"/>
        </w:rPr>
        <w:t>mit der Frauen</w:t>
      </w:r>
      <w:proofErr w:type="gramEnd"/>
      <w:r w:rsidRPr="00252459">
        <w:rPr>
          <w:rFonts w:asciiTheme="majorBidi" w:hAnsiTheme="majorBidi" w:cstheme="majorBidi"/>
        </w:rPr>
        <w:t>*</w:t>
      </w:r>
      <w:proofErr w:type="spellStart"/>
      <w:r w:rsidRPr="00252459">
        <w:rPr>
          <w:rFonts w:asciiTheme="majorBidi" w:hAnsiTheme="majorBidi" w:cstheme="majorBidi"/>
        </w:rPr>
        <w:t>förderung</w:t>
      </w:r>
      <w:proofErr w:type="spellEnd"/>
      <w:r w:rsidRPr="00252459">
        <w:rPr>
          <w:rFonts w:asciiTheme="majorBidi" w:hAnsiTheme="majorBidi" w:cstheme="majorBidi"/>
        </w:rPr>
        <w:t xml:space="preserve"> </w:t>
      </w:r>
      <w:r w:rsidRPr="00252459">
        <w:rPr>
          <w:rFonts w:asciiTheme="majorBidi" w:hAnsiTheme="majorBidi" w:cstheme="majorBidi"/>
        </w:rPr>
        <w:lastRenderedPageBreak/>
        <w:t xml:space="preserve">verbundenen Förderanstrengungen zurückgreifen. Die </w:t>
      </w:r>
      <w:r w:rsidR="002625BB" w:rsidRPr="00252459">
        <w:rPr>
          <w:rFonts w:asciiTheme="majorBidi" w:hAnsiTheme="majorBidi" w:cstheme="majorBidi"/>
        </w:rPr>
        <w:t xml:space="preserve">Frauen- und Gleichstellungsbeauftragten sind </w:t>
      </w:r>
      <w:r w:rsidRPr="00252459">
        <w:rPr>
          <w:rFonts w:asciiTheme="majorBidi" w:hAnsiTheme="majorBidi" w:cstheme="majorBidi"/>
        </w:rPr>
        <w:t xml:space="preserve">sich dabei </w:t>
      </w:r>
      <w:r w:rsidR="007C60F2" w:rsidRPr="00252459">
        <w:rPr>
          <w:rFonts w:asciiTheme="majorBidi" w:hAnsiTheme="majorBidi" w:cstheme="majorBidi"/>
        </w:rPr>
        <w:t xml:space="preserve">dessen </w:t>
      </w:r>
      <w:r w:rsidRPr="00252459">
        <w:rPr>
          <w:rFonts w:asciiTheme="majorBidi" w:hAnsiTheme="majorBidi" w:cstheme="majorBidi"/>
        </w:rPr>
        <w:t xml:space="preserve">bewusst, dass der Begriff Frauen* nicht dem gesamten Spektrum geschlechtlicher Vielfalt gerecht wird und eine Wiederholung diskriminierender Sprache darstellen kann. </w:t>
      </w:r>
      <w:r w:rsidR="002625BB" w:rsidRPr="00252459">
        <w:rPr>
          <w:rFonts w:asciiTheme="majorBidi" w:hAnsiTheme="majorBidi" w:cstheme="majorBidi"/>
        </w:rPr>
        <w:t xml:space="preserve">Sie </w:t>
      </w:r>
      <w:r w:rsidRPr="00252459">
        <w:rPr>
          <w:rFonts w:asciiTheme="majorBidi" w:hAnsiTheme="majorBidi" w:cstheme="majorBidi"/>
        </w:rPr>
        <w:t>schließ</w:t>
      </w:r>
      <w:r w:rsidR="009E12B1" w:rsidRPr="00252459">
        <w:rPr>
          <w:rFonts w:asciiTheme="majorBidi" w:hAnsiTheme="majorBidi" w:cstheme="majorBidi"/>
        </w:rPr>
        <w:t>en</w:t>
      </w:r>
      <w:r w:rsidRPr="00252459">
        <w:rPr>
          <w:rFonts w:asciiTheme="majorBidi" w:hAnsiTheme="majorBidi" w:cstheme="majorBidi"/>
        </w:rPr>
        <w:t xml:space="preserve"> ausdrücklich </w:t>
      </w:r>
      <w:proofErr w:type="spellStart"/>
      <w:r w:rsidRPr="00252459">
        <w:rPr>
          <w:rFonts w:asciiTheme="majorBidi" w:hAnsiTheme="majorBidi" w:cstheme="majorBidi"/>
        </w:rPr>
        <w:t>inter</w:t>
      </w:r>
      <w:proofErr w:type="spellEnd"/>
      <w:r w:rsidRPr="00252459">
        <w:rPr>
          <w:rFonts w:asciiTheme="majorBidi" w:hAnsiTheme="majorBidi" w:cstheme="majorBidi"/>
        </w:rPr>
        <w:t xml:space="preserve">*, </w:t>
      </w:r>
      <w:proofErr w:type="spellStart"/>
      <w:r w:rsidRPr="00252459">
        <w:rPr>
          <w:rFonts w:asciiTheme="majorBidi" w:hAnsiTheme="majorBidi" w:cstheme="majorBidi"/>
        </w:rPr>
        <w:t>trans</w:t>
      </w:r>
      <w:proofErr w:type="spellEnd"/>
      <w:r w:rsidRPr="00252459">
        <w:rPr>
          <w:rFonts w:asciiTheme="majorBidi" w:hAnsiTheme="majorBidi" w:cstheme="majorBidi"/>
        </w:rPr>
        <w:t>*</w:t>
      </w:r>
      <w:r w:rsidR="00806A40" w:rsidRPr="00252459">
        <w:rPr>
          <w:rFonts w:asciiTheme="majorBidi" w:hAnsiTheme="majorBidi" w:cstheme="majorBidi"/>
        </w:rPr>
        <w:t xml:space="preserve"> </w:t>
      </w:r>
      <w:r w:rsidRPr="00252459">
        <w:rPr>
          <w:rFonts w:asciiTheme="majorBidi" w:hAnsiTheme="majorBidi" w:cstheme="majorBidi"/>
        </w:rPr>
        <w:t>und nicht-binäre Personen in die Frauen*</w:t>
      </w:r>
      <w:proofErr w:type="spellStart"/>
      <w:r w:rsidRPr="00252459">
        <w:rPr>
          <w:rFonts w:asciiTheme="majorBidi" w:hAnsiTheme="majorBidi" w:cstheme="majorBidi"/>
        </w:rPr>
        <w:t>förderung</w:t>
      </w:r>
      <w:proofErr w:type="spellEnd"/>
      <w:r w:rsidRPr="00252459">
        <w:rPr>
          <w:rFonts w:asciiTheme="majorBidi" w:hAnsiTheme="majorBidi" w:cstheme="majorBidi"/>
        </w:rPr>
        <w:t xml:space="preserve"> ein. </w:t>
      </w:r>
    </w:p>
    <w:p w14:paraId="01F44B1A" w14:textId="2FCC6845" w:rsidR="00AC70F1" w:rsidRPr="00252459" w:rsidRDefault="00AC70F1" w:rsidP="00AC70F1">
      <w:pPr>
        <w:spacing w:line="276" w:lineRule="auto"/>
        <w:jc w:val="both"/>
        <w:rPr>
          <w:rFonts w:asciiTheme="majorBidi" w:hAnsiTheme="majorBidi" w:cstheme="majorBidi"/>
        </w:rPr>
      </w:pPr>
      <w:r w:rsidRPr="00252459">
        <w:rPr>
          <w:rFonts w:asciiTheme="majorBidi" w:hAnsiTheme="majorBidi" w:cstheme="majorBidi"/>
        </w:rPr>
        <w:t xml:space="preserve">Die auf Antrag der </w:t>
      </w:r>
      <w:r w:rsidR="002625BB" w:rsidRPr="00252459">
        <w:rPr>
          <w:rFonts w:asciiTheme="majorBidi" w:hAnsiTheme="majorBidi" w:cstheme="majorBidi"/>
        </w:rPr>
        <w:t xml:space="preserve">damaligen </w:t>
      </w:r>
      <w:r w:rsidRPr="00252459">
        <w:rPr>
          <w:rFonts w:asciiTheme="majorBidi" w:hAnsiTheme="majorBidi" w:cstheme="majorBidi"/>
        </w:rPr>
        <w:t xml:space="preserve">Frauenbeauftragten im </w:t>
      </w:r>
      <w:proofErr w:type="spellStart"/>
      <w:r w:rsidRPr="00252459">
        <w:rPr>
          <w:rFonts w:asciiTheme="majorBidi" w:hAnsiTheme="majorBidi" w:cstheme="majorBidi"/>
        </w:rPr>
        <w:t>SoSe</w:t>
      </w:r>
      <w:proofErr w:type="spellEnd"/>
      <w:r w:rsidRPr="00252459">
        <w:rPr>
          <w:rFonts w:asciiTheme="majorBidi" w:hAnsiTheme="majorBidi" w:cstheme="majorBidi"/>
        </w:rPr>
        <w:t xml:space="preserve"> 2019 durch den Fakultätsrat verabschiedeten Richtlinie</w:t>
      </w:r>
      <w:r w:rsidR="00357BD0" w:rsidRPr="00252459">
        <w:rPr>
          <w:rFonts w:asciiTheme="majorBidi" w:hAnsiTheme="majorBidi" w:cstheme="majorBidi"/>
        </w:rPr>
        <w:t>n</w:t>
      </w:r>
      <w:r w:rsidRPr="00252459">
        <w:rPr>
          <w:rFonts w:asciiTheme="majorBidi" w:hAnsiTheme="majorBidi" w:cstheme="majorBidi"/>
        </w:rPr>
        <w:t xml:space="preserve"> zur Vergabe von F</w:t>
      </w:r>
      <w:r w:rsidR="002625BB" w:rsidRPr="00252459">
        <w:rPr>
          <w:rFonts w:asciiTheme="majorBidi" w:hAnsiTheme="majorBidi" w:cstheme="majorBidi"/>
        </w:rPr>
        <w:t>rauenf</w:t>
      </w:r>
      <w:r w:rsidRPr="00252459">
        <w:rPr>
          <w:rFonts w:asciiTheme="majorBidi" w:hAnsiTheme="majorBidi" w:cstheme="majorBidi"/>
        </w:rPr>
        <w:t>ördermitteln an der Theologischen Fakultät gelten weiterhin</w:t>
      </w:r>
      <w:r w:rsidR="001F3B9C" w:rsidRPr="00252459">
        <w:rPr>
          <w:rFonts w:asciiTheme="majorBidi" w:hAnsiTheme="majorBidi" w:cstheme="majorBidi"/>
        </w:rPr>
        <w:t>, befinden sich derzeit aber in Überarbeitung.</w:t>
      </w:r>
      <w:r w:rsidRPr="00252459">
        <w:rPr>
          <w:rFonts w:asciiTheme="majorBidi" w:hAnsiTheme="majorBidi" w:cstheme="majorBidi"/>
        </w:rPr>
        <w:t xml:space="preserve"> In Übereinstimmung mit den Frauenförderrichtlinien der Humboldt-Universität stellt die Theologische Fakultät Mittel zur Förderung von Frauen* zur Ver</w:t>
      </w:r>
      <w:r w:rsidR="00564B25" w:rsidRPr="00252459">
        <w:rPr>
          <w:rFonts w:asciiTheme="majorBidi" w:hAnsiTheme="majorBidi" w:cstheme="majorBidi"/>
        </w:rPr>
        <w:softHyphen/>
      </w:r>
      <w:r w:rsidRPr="00252459">
        <w:rPr>
          <w:rFonts w:asciiTheme="majorBidi" w:hAnsiTheme="majorBidi" w:cstheme="majorBidi"/>
        </w:rPr>
        <w:t>fügung, die durch die dezentrale</w:t>
      </w:r>
      <w:r w:rsidR="001F3B9C" w:rsidRPr="00252459">
        <w:rPr>
          <w:rFonts w:asciiTheme="majorBidi" w:hAnsiTheme="majorBidi" w:cstheme="majorBidi"/>
        </w:rPr>
        <w:t>n Frauen- und Gleichstellungsbeauftragten</w:t>
      </w:r>
      <w:r w:rsidR="00D02D19" w:rsidRPr="00252459">
        <w:rPr>
          <w:rFonts w:asciiTheme="majorBidi" w:hAnsiTheme="majorBidi" w:cstheme="majorBidi"/>
        </w:rPr>
        <w:t xml:space="preserve"> </w:t>
      </w:r>
      <w:r w:rsidRPr="00252459">
        <w:rPr>
          <w:rFonts w:asciiTheme="majorBidi" w:hAnsiTheme="majorBidi" w:cstheme="majorBidi"/>
        </w:rPr>
        <w:t xml:space="preserve">verwaltet werden. Die Fördermittel werden </w:t>
      </w:r>
      <w:r w:rsidR="001F3B9C" w:rsidRPr="00252459">
        <w:rPr>
          <w:rFonts w:asciiTheme="majorBidi" w:hAnsiTheme="majorBidi" w:cstheme="majorBidi"/>
        </w:rPr>
        <w:t xml:space="preserve">sowohl von Studierenden als auch von wissenschaftlichen Mitarbeitenden der </w:t>
      </w:r>
      <w:r w:rsidR="00D02D19" w:rsidRPr="00252459">
        <w:rPr>
          <w:rFonts w:asciiTheme="majorBidi" w:hAnsiTheme="majorBidi" w:cstheme="majorBidi"/>
        </w:rPr>
        <w:t>Fakultät abgerufen</w:t>
      </w:r>
      <w:r w:rsidRPr="00252459">
        <w:rPr>
          <w:rFonts w:asciiTheme="majorBidi" w:hAnsiTheme="majorBidi" w:cstheme="majorBidi"/>
        </w:rPr>
        <w:t xml:space="preserve">. Auf diese Fördermittel sowie auf weitere Fördermöglichkeiten wird regelmäßig hingewiesen. </w:t>
      </w:r>
    </w:p>
    <w:p w14:paraId="13F1E57C" w14:textId="77777777" w:rsidR="00AC70F1" w:rsidRPr="00252459" w:rsidRDefault="00AC70F1" w:rsidP="00AC70F1">
      <w:pPr>
        <w:spacing w:line="276" w:lineRule="auto"/>
        <w:jc w:val="both"/>
        <w:rPr>
          <w:rFonts w:asciiTheme="majorBidi" w:hAnsiTheme="majorBidi" w:cstheme="majorBidi"/>
        </w:rPr>
      </w:pPr>
      <w:r w:rsidRPr="00252459">
        <w:rPr>
          <w:rFonts w:asciiTheme="majorBidi" w:hAnsiTheme="majorBidi" w:cstheme="majorBidi"/>
        </w:rPr>
        <w:t>Ein Vergleich von Promotions-, Habilitations- und Berufungszahlen zeigt, dass auf der je höheren</w:t>
      </w:r>
      <w:r w:rsidRPr="00252459">
        <w:rPr>
          <w:rFonts w:asciiTheme="majorBidi" w:hAnsiTheme="majorBidi" w:cstheme="majorBidi"/>
          <w:spacing w:val="1"/>
        </w:rPr>
        <w:t xml:space="preserve"> </w:t>
      </w:r>
      <w:r w:rsidRPr="00252459">
        <w:rPr>
          <w:rFonts w:asciiTheme="majorBidi" w:hAnsiTheme="majorBidi" w:cstheme="majorBidi"/>
        </w:rPr>
        <w:t>Karrierestufe</w:t>
      </w:r>
      <w:r w:rsidRPr="00252459">
        <w:rPr>
          <w:rFonts w:asciiTheme="majorBidi" w:hAnsiTheme="majorBidi" w:cstheme="majorBidi"/>
          <w:spacing w:val="1"/>
        </w:rPr>
        <w:t xml:space="preserve"> </w:t>
      </w:r>
      <w:r w:rsidRPr="00252459">
        <w:rPr>
          <w:rFonts w:asciiTheme="majorBidi" w:hAnsiTheme="majorBidi" w:cstheme="majorBidi"/>
        </w:rPr>
        <w:t>Frauen*</w:t>
      </w:r>
      <w:r w:rsidRPr="00252459">
        <w:rPr>
          <w:rFonts w:asciiTheme="majorBidi" w:hAnsiTheme="majorBidi" w:cstheme="majorBidi"/>
          <w:spacing w:val="1"/>
        </w:rPr>
        <w:t xml:space="preserve"> </w:t>
      </w:r>
      <w:r w:rsidRPr="00252459">
        <w:rPr>
          <w:rFonts w:asciiTheme="majorBidi" w:hAnsiTheme="majorBidi" w:cstheme="majorBidi"/>
        </w:rPr>
        <w:t>mit</w:t>
      </w:r>
      <w:r w:rsidRPr="00252459">
        <w:rPr>
          <w:rFonts w:asciiTheme="majorBidi" w:hAnsiTheme="majorBidi" w:cstheme="majorBidi"/>
          <w:spacing w:val="1"/>
        </w:rPr>
        <w:t xml:space="preserve"> </w:t>
      </w:r>
      <w:r w:rsidRPr="00252459">
        <w:rPr>
          <w:rFonts w:asciiTheme="majorBidi" w:hAnsiTheme="majorBidi" w:cstheme="majorBidi"/>
        </w:rPr>
        <w:t>jeweils</w:t>
      </w:r>
      <w:r w:rsidRPr="00252459">
        <w:rPr>
          <w:rFonts w:asciiTheme="majorBidi" w:hAnsiTheme="majorBidi" w:cstheme="majorBidi"/>
          <w:spacing w:val="1"/>
        </w:rPr>
        <w:t xml:space="preserve"> </w:t>
      </w:r>
      <w:r w:rsidRPr="00252459">
        <w:rPr>
          <w:rFonts w:asciiTheme="majorBidi" w:hAnsiTheme="majorBidi" w:cstheme="majorBidi"/>
        </w:rPr>
        <w:t>geringerem</w:t>
      </w:r>
      <w:r w:rsidRPr="00252459">
        <w:rPr>
          <w:rFonts w:asciiTheme="majorBidi" w:hAnsiTheme="majorBidi" w:cstheme="majorBidi"/>
          <w:spacing w:val="1"/>
        </w:rPr>
        <w:t xml:space="preserve"> </w:t>
      </w:r>
      <w:r w:rsidRPr="00252459">
        <w:rPr>
          <w:rFonts w:asciiTheme="majorBidi" w:hAnsiTheme="majorBidi" w:cstheme="majorBidi"/>
        </w:rPr>
        <w:t>Anteil</w:t>
      </w:r>
      <w:r w:rsidRPr="00252459">
        <w:rPr>
          <w:rFonts w:asciiTheme="majorBidi" w:hAnsiTheme="majorBidi" w:cstheme="majorBidi"/>
          <w:spacing w:val="1"/>
        </w:rPr>
        <w:t xml:space="preserve"> </w:t>
      </w:r>
      <w:r w:rsidRPr="00252459">
        <w:rPr>
          <w:rFonts w:asciiTheme="majorBidi" w:hAnsiTheme="majorBidi" w:cstheme="majorBidi"/>
        </w:rPr>
        <w:t>vertreten</w:t>
      </w:r>
      <w:r w:rsidRPr="00252459">
        <w:rPr>
          <w:rFonts w:asciiTheme="majorBidi" w:hAnsiTheme="majorBidi" w:cstheme="majorBidi"/>
          <w:spacing w:val="1"/>
        </w:rPr>
        <w:t xml:space="preserve"> </w:t>
      </w:r>
      <w:r w:rsidRPr="00252459">
        <w:rPr>
          <w:rFonts w:asciiTheme="majorBidi" w:hAnsiTheme="majorBidi" w:cstheme="majorBidi"/>
        </w:rPr>
        <w:t>sind (s.u. zum prozentualen Anteil der Professorinnen)</w:t>
      </w:r>
      <w:r w:rsidRPr="00252459">
        <w:rPr>
          <w:rFonts w:asciiTheme="majorBidi" w:hAnsiTheme="majorBidi" w:cstheme="majorBidi"/>
          <w:spacing w:val="1"/>
        </w:rPr>
        <w:t>.</w:t>
      </w:r>
      <w:r w:rsidRPr="00252459">
        <w:rPr>
          <w:rFonts w:asciiTheme="majorBidi" w:hAnsiTheme="majorBidi" w:cstheme="majorBidi"/>
        </w:rPr>
        <w:t xml:space="preserve"> Die Fakultät bemüht sich, bei zukünftigen Besetzungen von Professuren um die Berufung von Frauen*, um das Geschlechter-Verhältnis paritätischer zu gestalten.</w:t>
      </w:r>
    </w:p>
    <w:p w14:paraId="41FD9300" w14:textId="1FD68C24" w:rsidR="00AC70F1" w:rsidRPr="00252459" w:rsidRDefault="00AC70F1" w:rsidP="00CF5B3D">
      <w:pPr>
        <w:pStyle w:val="Textkrper"/>
        <w:spacing w:line="276" w:lineRule="auto"/>
        <w:jc w:val="both"/>
        <w:rPr>
          <w:rFonts w:asciiTheme="majorBidi" w:hAnsiTheme="majorBidi" w:cstheme="majorBidi"/>
          <w:sz w:val="22"/>
          <w:szCs w:val="22"/>
        </w:rPr>
      </w:pPr>
      <w:r w:rsidRPr="00252459">
        <w:rPr>
          <w:rFonts w:asciiTheme="majorBidi" w:hAnsiTheme="majorBidi" w:cstheme="majorBidi"/>
          <w:sz w:val="22"/>
          <w:szCs w:val="22"/>
        </w:rPr>
        <w:t>Die Fakultät bemüht sich des Weiteren bei der Besetzung von Gast- und Vertretungsprofessuren um die Gewinnung geeigneter Wissenschaftlerinnen*. Bei der Vergabe werden Frauen* bei gleicher</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Eignung bevorzugt berücksichtigt.</w:t>
      </w:r>
      <w:r w:rsidRPr="00252459">
        <w:rPr>
          <w:rFonts w:asciiTheme="majorBidi" w:hAnsiTheme="majorBidi" w:cstheme="majorBidi"/>
          <w:spacing w:val="1"/>
          <w:sz w:val="22"/>
          <w:szCs w:val="22"/>
        </w:rPr>
        <w:t xml:space="preserve"> </w:t>
      </w:r>
      <w:r w:rsidRPr="00252459">
        <w:rPr>
          <w:rFonts w:asciiTheme="majorBidi" w:hAnsiTheme="majorBidi" w:cstheme="majorBidi"/>
          <w:sz w:val="22"/>
          <w:szCs w:val="22"/>
        </w:rPr>
        <w:t xml:space="preserve">Zur Erhöhung </w:t>
      </w:r>
      <w:proofErr w:type="gramStart"/>
      <w:r w:rsidRPr="00252459">
        <w:rPr>
          <w:rFonts w:asciiTheme="majorBidi" w:hAnsiTheme="majorBidi" w:cstheme="majorBidi"/>
          <w:sz w:val="22"/>
          <w:szCs w:val="22"/>
        </w:rPr>
        <w:t>des Frauen</w:t>
      </w:r>
      <w:proofErr w:type="gramEnd"/>
      <w:r w:rsidRPr="00252459">
        <w:rPr>
          <w:rFonts w:asciiTheme="majorBidi" w:hAnsiTheme="majorBidi" w:cstheme="majorBidi"/>
          <w:sz w:val="22"/>
          <w:szCs w:val="22"/>
        </w:rPr>
        <w:t>*</w:t>
      </w:r>
      <w:proofErr w:type="spellStart"/>
      <w:r w:rsidRPr="00252459">
        <w:rPr>
          <w:rFonts w:asciiTheme="majorBidi" w:hAnsiTheme="majorBidi" w:cstheme="majorBidi"/>
          <w:sz w:val="22"/>
          <w:szCs w:val="22"/>
        </w:rPr>
        <w:t>anteils</w:t>
      </w:r>
      <w:proofErr w:type="spellEnd"/>
      <w:r w:rsidRPr="00252459">
        <w:rPr>
          <w:rFonts w:asciiTheme="majorBidi" w:hAnsiTheme="majorBidi" w:cstheme="majorBidi"/>
          <w:sz w:val="22"/>
          <w:szCs w:val="22"/>
        </w:rPr>
        <w:t xml:space="preserve"> bei der Besetzung zukünftiger Stellen berücksichtigt die Fakultät weitere Maßnahmen wie </w:t>
      </w:r>
      <w:r w:rsidR="00CF5B3D" w:rsidRPr="00252459">
        <w:rPr>
          <w:rFonts w:asciiTheme="majorBidi" w:hAnsiTheme="majorBidi" w:cstheme="majorBidi"/>
          <w:sz w:val="22"/>
          <w:szCs w:val="22"/>
        </w:rPr>
        <w:t xml:space="preserve">beispielsweise </w:t>
      </w:r>
      <w:r w:rsidRPr="00252459">
        <w:rPr>
          <w:rFonts w:asciiTheme="majorBidi" w:hAnsiTheme="majorBidi" w:cstheme="majorBidi"/>
          <w:sz w:val="22"/>
          <w:szCs w:val="22"/>
        </w:rPr>
        <w:t xml:space="preserve">die Möglichkeit der Beantragung von Förderungen aus dem Berliner Chancengleichheitsprogramm. </w:t>
      </w:r>
    </w:p>
    <w:p w14:paraId="73DC4233" w14:textId="2165280D" w:rsidR="002625BB" w:rsidRPr="00252459" w:rsidRDefault="00D21318" w:rsidP="00CF5B3D">
      <w:pPr>
        <w:spacing w:line="276" w:lineRule="auto"/>
        <w:jc w:val="both"/>
        <w:rPr>
          <w:rFonts w:asciiTheme="majorBidi" w:hAnsiTheme="majorBidi" w:cstheme="majorBidi"/>
        </w:rPr>
      </w:pPr>
      <w:r w:rsidRPr="00252459">
        <w:rPr>
          <w:rFonts w:asciiTheme="majorBidi" w:hAnsiTheme="majorBidi" w:cstheme="majorBidi"/>
        </w:rPr>
        <w:t xml:space="preserve">Einer </w:t>
      </w:r>
      <w:r w:rsidR="007842B1" w:rsidRPr="00252459">
        <w:rPr>
          <w:rFonts w:asciiTheme="majorBidi" w:hAnsiTheme="majorBidi" w:cstheme="majorBidi"/>
        </w:rPr>
        <w:t xml:space="preserve">im </w:t>
      </w:r>
      <w:proofErr w:type="spellStart"/>
      <w:r w:rsidR="00AC70F1" w:rsidRPr="00252459">
        <w:rPr>
          <w:rFonts w:asciiTheme="majorBidi" w:hAnsiTheme="majorBidi" w:cstheme="majorBidi"/>
        </w:rPr>
        <w:t>SoSe</w:t>
      </w:r>
      <w:proofErr w:type="spellEnd"/>
      <w:r w:rsidR="00AC70F1" w:rsidRPr="00252459">
        <w:rPr>
          <w:rFonts w:asciiTheme="majorBidi" w:hAnsiTheme="majorBidi" w:cstheme="majorBidi"/>
        </w:rPr>
        <w:t xml:space="preserve"> 2022</w:t>
      </w:r>
      <w:r w:rsidR="00684D2D" w:rsidRPr="00252459">
        <w:rPr>
          <w:rFonts w:asciiTheme="majorBidi" w:hAnsiTheme="majorBidi" w:cstheme="majorBidi"/>
        </w:rPr>
        <w:t xml:space="preserve"> von </w:t>
      </w:r>
      <w:r w:rsidR="00AC70F1" w:rsidRPr="00252459">
        <w:rPr>
          <w:rFonts w:asciiTheme="majorBidi" w:hAnsiTheme="majorBidi" w:cstheme="majorBidi"/>
        </w:rPr>
        <w:t>d</w:t>
      </w:r>
      <w:r w:rsidR="007842B1" w:rsidRPr="00252459">
        <w:rPr>
          <w:rFonts w:asciiTheme="majorBidi" w:hAnsiTheme="majorBidi" w:cstheme="majorBidi"/>
        </w:rPr>
        <w:t>er</w:t>
      </w:r>
      <w:r w:rsidR="00AC70F1" w:rsidRPr="00252459">
        <w:rPr>
          <w:rFonts w:asciiTheme="majorBidi" w:hAnsiTheme="majorBidi" w:cstheme="majorBidi"/>
        </w:rPr>
        <w:t xml:space="preserve"> </w:t>
      </w:r>
      <w:r w:rsidR="007842B1" w:rsidRPr="00252459">
        <w:rPr>
          <w:rFonts w:asciiTheme="majorBidi" w:hAnsiTheme="majorBidi" w:cstheme="majorBidi"/>
        </w:rPr>
        <w:t xml:space="preserve">Frauen- und Gleichstellungsbeauftragten </w:t>
      </w:r>
      <w:r w:rsidR="00AC70F1" w:rsidRPr="00252459">
        <w:rPr>
          <w:rFonts w:asciiTheme="majorBidi" w:hAnsiTheme="majorBidi" w:cstheme="majorBidi"/>
        </w:rPr>
        <w:t>unter Mitarbeit eingeladener Expert*innen</w:t>
      </w:r>
      <w:r w:rsidRPr="00252459">
        <w:rPr>
          <w:rFonts w:asciiTheme="majorBidi" w:hAnsiTheme="majorBidi" w:cstheme="majorBidi"/>
        </w:rPr>
        <w:t xml:space="preserve"> durchgeführten Übung</w:t>
      </w:r>
      <w:r w:rsidR="006F35BE" w:rsidRPr="00252459">
        <w:rPr>
          <w:rFonts w:asciiTheme="majorBidi" w:hAnsiTheme="majorBidi" w:cstheme="majorBidi"/>
        </w:rPr>
        <w:t>,</w:t>
      </w:r>
      <w:r w:rsidR="00AC70F1" w:rsidRPr="00252459">
        <w:rPr>
          <w:rFonts w:asciiTheme="majorBidi" w:hAnsiTheme="majorBidi" w:cstheme="majorBidi"/>
        </w:rPr>
        <w:t xml:space="preserve"> die nicht gehörten Frauen* in der Theologie und der Religionsforschung mit Bezug zum Standort Berlin Sichtbarkeit </w:t>
      </w:r>
      <w:r w:rsidR="007842B1" w:rsidRPr="00252459">
        <w:rPr>
          <w:rFonts w:asciiTheme="majorBidi" w:hAnsiTheme="majorBidi" w:cstheme="majorBidi"/>
        </w:rPr>
        <w:t xml:space="preserve">verschaffte, folgte </w:t>
      </w:r>
      <w:r w:rsidR="002A4A3D" w:rsidRPr="00252459">
        <w:rPr>
          <w:rFonts w:asciiTheme="majorBidi" w:hAnsiTheme="majorBidi" w:cstheme="majorBidi"/>
        </w:rPr>
        <w:t xml:space="preserve">am 03. Juli 2023 </w:t>
      </w:r>
      <w:r w:rsidR="007842B1" w:rsidRPr="00252459">
        <w:rPr>
          <w:rFonts w:asciiTheme="majorBidi" w:hAnsiTheme="majorBidi" w:cstheme="majorBidi"/>
        </w:rPr>
        <w:t xml:space="preserve">eine feierliche Vernissage. </w:t>
      </w:r>
      <w:r w:rsidR="002A4A3D" w:rsidRPr="00252459">
        <w:rPr>
          <w:rFonts w:asciiTheme="majorBidi" w:hAnsiTheme="majorBidi" w:cstheme="majorBidi"/>
        </w:rPr>
        <w:t xml:space="preserve">Insgesamt </w:t>
      </w:r>
      <w:r w:rsidR="00973210" w:rsidRPr="00252459">
        <w:rPr>
          <w:rFonts w:asciiTheme="majorBidi" w:hAnsiTheme="majorBidi" w:cstheme="majorBidi"/>
        </w:rPr>
        <w:t>sechs</w:t>
      </w:r>
      <w:r w:rsidR="002A4A3D" w:rsidRPr="00252459">
        <w:rPr>
          <w:rFonts w:asciiTheme="majorBidi" w:hAnsiTheme="majorBidi" w:cstheme="majorBidi"/>
        </w:rPr>
        <w:t xml:space="preserve"> Frauen</w:t>
      </w:r>
      <w:r w:rsidR="002625BB" w:rsidRPr="00252459">
        <w:rPr>
          <w:rFonts w:asciiTheme="majorBidi" w:hAnsiTheme="majorBidi" w:cstheme="majorBidi"/>
        </w:rPr>
        <w:t>*</w:t>
      </w:r>
      <w:proofErr w:type="spellStart"/>
      <w:r w:rsidR="002A4A3D" w:rsidRPr="00252459">
        <w:rPr>
          <w:rFonts w:asciiTheme="majorBidi" w:hAnsiTheme="majorBidi" w:cstheme="majorBidi"/>
        </w:rPr>
        <w:t>portraits</w:t>
      </w:r>
      <w:proofErr w:type="spellEnd"/>
      <w:r w:rsidR="002A4A3D" w:rsidRPr="00252459">
        <w:rPr>
          <w:rFonts w:asciiTheme="majorBidi" w:hAnsiTheme="majorBidi" w:cstheme="majorBidi"/>
        </w:rPr>
        <w:t xml:space="preserve"> mit Bezug zur Theologischen Fakultät wurden</w:t>
      </w:r>
      <w:r w:rsidR="0026300F" w:rsidRPr="00252459">
        <w:rPr>
          <w:rFonts w:asciiTheme="majorBidi" w:hAnsiTheme="majorBidi" w:cstheme="majorBidi"/>
        </w:rPr>
        <w:t>,</w:t>
      </w:r>
      <w:r w:rsidR="002A4A3D" w:rsidRPr="00252459">
        <w:rPr>
          <w:rFonts w:asciiTheme="majorBidi" w:hAnsiTheme="majorBidi" w:cstheme="majorBidi"/>
        </w:rPr>
        <w:t xml:space="preserve"> eingebettet in ein von Studierenden entworfenes Ausstellungskonzept, welches </w:t>
      </w:r>
      <w:r w:rsidR="00BA500B" w:rsidRPr="00252459">
        <w:rPr>
          <w:rFonts w:asciiTheme="majorBidi" w:hAnsiTheme="majorBidi" w:cstheme="majorBidi"/>
        </w:rPr>
        <w:t>die gegenwärtige Raumgestaltung</w:t>
      </w:r>
      <w:r w:rsidR="002A4A3D" w:rsidRPr="00252459">
        <w:rPr>
          <w:rFonts w:asciiTheme="majorBidi" w:hAnsiTheme="majorBidi" w:cstheme="majorBidi"/>
        </w:rPr>
        <w:t xml:space="preserve"> des Fakultätsgebäudes aufnahm, bis zum 20. Juli 2023 im Foyer der interessierten Öffentlichkeit gezeigt. </w:t>
      </w:r>
      <w:r w:rsidR="000A47D9" w:rsidRPr="00252459">
        <w:rPr>
          <w:rFonts w:asciiTheme="majorBidi" w:hAnsiTheme="majorBidi" w:cstheme="majorBidi"/>
        </w:rPr>
        <w:t>Die Vernissage</w:t>
      </w:r>
      <w:r w:rsidR="007E752F" w:rsidRPr="00252459">
        <w:rPr>
          <w:rFonts w:asciiTheme="majorBidi" w:hAnsiTheme="majorBidi" w:cstheme="majorBidi"/>
        </w:rPr>
        <w:t xml:space="preserve"> und die Ausstellung</w:t>
      </w:r>
      <w:r w:rsidR="000A47D9" w:rsidRPr="00252459">
        <w:rPr>
          <w:rFonts w:asciiTheme="majorBidi" w:hAnsiTheme="majorBidi" w:cstheme="majorBidi"/>
        </w:rPr>
        <w:t xml:space="preserve"> erzielte</w:t>
      </w:r>
      <w:r w:rsidR="007E752F" w:rsidRPr="00252459">
        <w:rPr>
          <w:rFonts w:asciiTheme="majorBidi" w:hAnsiTheme="majorBidi" w:cstheme="majorBidi"/>
        </w:rPr>
        <w:t>n</w:t>
      </w:r>
      <w:r w:rsidR="000A47D9" w:rsidRPr="00252459">
        <w:rPr>
          <w:rFonts w:asciiTheme="majorBidi" w:hAnsiTheme="majorBidi" w:cstheme="majorBidi"/>
        </w:rPr>
        <w:t xml:space="preserve"> große Außen</w:t>
      </w:r>
      <w:r w:rsidR="00DA09BE" w:rsidRPr="00252459">
        <w:rPr>
          <w:rFonts w:asciiTheme="majorBidi" w:hAnsiTheme="majorBidi" w:cstheme="majorBidi"/>
        </w:rPr>
        <w:softHyphen/>
      </w:r>
      <w:r w:rsidR="000A47D9" w:rsidRPr="00252459">
        <w:rPr>
          <w:rFonts w:asciiTheme="majorBidi" w:hAnsiTheme="majorBidi" w:cstheme="majorBidi"/>
        </w:rPr>
        <w:t>wirkung. Diverse Newsletter und Tageszeitungen berichteten</w:t>
      </w:r>
      <w:r w:rsidR="007E752F" w:rsidRPr="00252459">
        <w:rPr>
          <w:rFonts w:asciiTheme="majorBidi" w:hAnsiTheme="majorBidi" w:cstheme="majorBidi"/>
        </w:rPr>
        <w:t xml:space="preserve"> darüber</w:t>
      </w:r>
      <w:r w:rsidR="000A47D9" w:rsidRPr="00252459">
        <w:rPr>
          <w:rFonts w:asciiTheme="majorBidi" w:hAnsiTheme="majorBidi" w:cstheme="majorBidi"/>
        </w:rPr>
        <w:t xml:space="preserve">. </w:t>
      </w:r>
      <w:r w:rsidR="00AC70F1" w:rsidRPr="00252459">
        <w:rPr>
          <w:rFonts w:asciiTheme="majorBidi" w:hAnsiTheme="majorBidi" w:cstheme="majorBidi"/>
        </w:rPr>
        <w:t>Die Übung „Frauen*stimmen in Theologie und Religionsforschung“ wirkt</w:t>
      </w:r>
      <w:r w:rsidR="000A47D9" w:rsidRPr="00252459">
        <w:rPr>
          <w:rFonts w:asciiTheme="majorBidi" w:hAnsiTheme="majorBidi" w:cstheme="majorBidi"/>
        </w:rPr>
        <w:t>e</w:t>
      </w:r>
      <w:r w:rsidR="00AC70F1" w:rsidRPr="00252459">
        <w:rPr>
          <w:rFonts w:asciiTheme="majorBidi" w:hAnsiTheme="majorBidi" w:cstheme="majorBidi"/>
        </w:rPr>
        <w:t xml:space="preserve"> auf die Umgestaltung des männlich-dominierten Erscheinungsbilds des Fakultätsgebäudes hin. D</w:t>
      </w:r>
      <w:r w:rsidR="009259D9" w:rsidRPr="00252459">
        <w:rPr>
          <w:rFonts w:asciiTheme="majorBidi" w:hAnsiTheme="majorBidi" w:cstheme="majorBidi"/>
        </w:rPr>
        <w:t>ie</w:t>
      </w:r>
      <w:r w:rsidR="00C61C17" w:rsidRPr="00252459">
        <w:rPr>
          <w:rFonts w:asciiTheme="majorBidi" w:hAnsiTheme="majorBidi" w:cstheme="majorBidi"/>
        </w:rPr>
        <w:t>se</w:t>
      </w:r>
      <w:r w:rsidR="009259D9" w:rsidRPr="00252459">
        <w:rPr>
          <w:rFonts w:asciiTheme="majorBidi" w:hAnsiTheme="majorBidi" w:cstheme="majorBidi"/>
        </w:rPr>
        <w:t xml:space="preserve"> Übung</w:t>
      </w:r>
      <w:r w:rsidR="00AC70F1" w:rsidRPr="00252459">
        <w:rPr>
          <w:rFonts w:asciiTheme="majorBidi" w:hAnsiTheme="majorBidi" w:cstheme="majorBidi"/>
        </w:rPr>
        <w:t xml:space="preserve"> entspricht dem Konzept „Vielfalt an der HU sichtbar machen“ aus dem Leitfaden der Humboldt-Universität zu Berlin zur geschlechtergerechten (Bild-)Sprache. Dort heißt es: „Alle Geschlechter sollten in etwa gleich häufig und gleichwertig abgebildet werden, d.h. Frauen* sollten nicht in den Hintergrund gerückt oder durchgehend kleiner erscheinen als Männer.“</w:t>
      </w:r>
      <w:r w:rsidR="00AC70F1" w:rsidRPr="00252459">
        <w:rPr>
          <w:rFonts w:asciiTheme="majorBidi" w:hAnsiTheme="majorBidi" w:cstheme="majorBidi"/>
          <w:vertAlign w:val="superscript"/>
        </w:rPr>
        <w:footnoteReference w:id="1"/>
      </w:r>
    </w:p>
    <w:p w14:paraId="0A820036" w14:textId="3B84D70C" w:rsidR="00AC70F1" w:rsidRPr="00252459" w:rsidRDefault="000A47D9" w:rsidP="00541488">
      <w:pPr>
        <w:spacing w:line="276" w:lineRule="auto"/>
        <w:jc w:val="both"/>
        <w:rPr>
          <w:rFonts w:asciiTheme="majorBidi" w:hAnsiTheme="majorBidi" w:cstheme="majorBidi"/>
        </w:rPr>
      </w:pPr>
      <w:r w:rsidRPr="00252459">
        <w:rPr>
          <w:rFonts w:asciiTheme="majorBidi" w:hAnsiTheme="majorBidi" w:cstheme="majorBidi"/>
        </w:rPr>
        <w:t>Unter der Überschrift „Erinnerungskultur“ arbeiten die Frauen- und Gleichstellungsbeauftragten</w:t>
      </w:r>
      <w:r w:rsidR="00541488" w:rsidRPr="00252459">
        <w:rPr>
          <w:rFonts w:asciiTheme="majorBidi" w:hAnsiTheme="majorBidi" w:cstheme="majorBidi"/>
        </w:rPr>
        <w:t xml:space="preserve"> entsprechend den Ergebnissen der positiven </w:t>
      </w:r>
      <w:r w:rsidR="002625BB" w:rsidRPr="00252459">
        <w:rPr>
          <w:rFonts w:asciiTheme="majorBidi" w:hAnsiTheme="majorBidi" w:cstheme="majorBidi"/>
        </w:rPr>
        <w:t xml:space="preserve">Evaluation des Projektes </w:t>
      </w:r>
      <w:r w:rsidRPr="00252459">
        <w:rPr>
          <w:rFonts w:asciiTheme="majorBidi" w:hAnsiTheme="majorBidi" w:cstheme="majorBidi"/>
        </w:rPr>
        <w:t xml:space="preserve">zusammen mit der </w:t>
      </w:r>
      <w:r w:rsidRPr="00252459">
        <w:rPr>
          <w:rFonts w:asciiTheme="majorBidi" w:hAnsiTheme="majorBidi" w:cstheme="majorBidi"/>
          <w:i/>
          <w:iCs/>
        </w:rPr>
        <w:t>Gebäude- und Nachhaltigkeitskommission</w:t>
      </w:r>
      <w:r w:rsidRPr="00252459">
        <w:rPr>
          <w:rFonts w:asciiTheme="majorBidi" w:hAnsiTheme="majorBidi" w:cstheme="majorBidi"/>
        </w:rPr>
        <w:t xml:space="preserve"> an einem Konzept der Umgestaltung</w:t>
      </w:r>
      <w:r w:rsidR="002625BB" w:rsidRPr="00252459">
        <w:rPr>
          <w:rFonts w:asciiTheme="majorBidi" w:hAnsiTheme="majorBidi" w:cstheme="majorBidi"/>
        </w:rPr>
        <w:t xml:space="preserve"> des Fakultätsgebäudes</w:t>
      </w:r>
      <w:r w:rsidRPr="00252459">
        <w:rPr>
          <w:rFonts w:asciiTheme="majorBidi" w:hAnsiTheme="majorBidi" w:cstheme="majorBidi"/>
        </w:rPr>
        <w:t>, das sich zum Ziel</w:t>
      </w:r>
      <w:r w:rsidR="00C5503C" w:rsidRPr="00252459">
        <w:rPr>
          <w:rFonts w:asciiTheme="majorBidi" w:hAnsiTheme="majorBidi" w:cstheme="majorBidi"/>
        </w:rPr>
        <w:t xml:space="preserve"> macht</w:t>
      </w:r>
      <w:r w:rsidR="009259D9" w:rsidRPr="00252459">
        <w:rPr>
          <w:rFonts w:asciiTheme="majorBidi" w:hAnsiTheme="majorBidi" w:cstheme="majorBidi"/>
        </w:rPr>
        <w:t>,</w:t>
      </w:r>
      <w:r w:rsidRPr="00252459">
        <w:rPr>
          <w:rFonts w:asciiTheme="majorBidi" w:hAnsiTheme="majorBidi" w:cstheme="majorBidi"/>
        </w:rPr>
        <w:t xml:space="preserve"> diverse Aspekte der Geschichte des Hauses sichtbar zu machen.</w:t>
      </w:r>
      <w:r w:rsidR="001914A1" w:rsidRPr="00252459">
        <w:rPr>
          <w:rFonts w:asciiTheme="majorBidi" w:hAnsiTheme="majorBidi" w:cstheme="majorBidi"/>
        </w:rPr>
        <w:t xml:space="preserve">  </w:t>
      </w:r>
    </w:p>
    <w:p w14:paraId="0E2F5667" w14:textId="77777777" w:rsidR="002A4A3D" w:rsidRPr="00252459" w:rsidRDefault="002A4A3D" w:rsidP="00AC70F1">
      <w:pPr>
        <w:spacing w:line="276" w:lineRule="auto"/>
        <w:jc w:val="both"/>
        <w:rPr>
          <w:rFonts w:asciiTheme="majorBidi" w:hAnsiTheme="majorBidi" w:cstheme="majorBidi"/>
        </w:rPr>
      </w:pPr>
    </w:p>
    <w:p w14:paraId="384ECC98" w14:textId="1BD6B5CD" w:rsidR="00AC70F1" w:rsidRPr="00252459" w:rsidRDefault="00AC70F1" w:rsidP="00185EA8">
      <w:pPr>
        <w:spacing w:line="276" w:lineRule="auto"/>
        <w:jc w:val="both"/>
        <w:rPr>
          <w:rFonts w:asciiTheme="majorBidi" w:hAnsiTheme="majorBidi" w:cstheme="majorBidi"/>
          <w:b/>
          <w:bCs/>
        </w:rPr>
      </w:pPr>
      <w:r w:rsidRPr="00252459">
        <w:rPr>
          <w:rFonts w:asciiTheme="majorBidi" w:hAnsiTheme="majorBidi" w:cstheme="majorBidi"/>
          <w:b/>
          <w:bCs/>
        </w:rPr>
        <w:t>2.3 Care-Arbeit</w:t>
      </w:r>
      <w:r w:rsidR="00F552E4" w:rsidRPr="00252459">
        <w:rPr>
          <w:rFonts w:asciiTheme="majorBidi" w:hAnsiTheme="majorBidi" w:cstheme="majorBidi"/>
          <w:b/>
          <w:bCs/>
        </w:rPr>
        <w:t>, Erkrankungen</w:t>
      </w:r>
      <w:r w:rsidR="004E3F1E" w:rsidRPr="00252459">
        <w:rPr>
          <w:rFonts w:asciiTheme="majorBidi" w:hAnsiTheme="majorBidi" w:cstheme="majorBidi"/>
          <w:b/>
          <w:bCs/>
        </w:rPr>
        <w:t>,</w:t>
      </w:r>
      <w:r w:rsidR="00F552E4" w:rsidRPr="00252459">
        <w:rPr>
          <w:rFonts w:asciiTheme="majorBidi" w:hAnsiTheme="majorBidi" w:cstheme="majorBidi"/>
          <w:b/>
          <w:bCs/>
        </w:rPr>
        <w:t xml:space="preserve"> </w:t>
      </w:r>
      <w:proofErr w:type="spellStart"/>
      <w:r w:rsidR="00F552E4" w:rsidRPr="00252459">
        <w:rPr>
          <w:rFonts w:asciiTheme="majorBidi" w:hAnsiTheme="majorBidi" w:cstheme="majorBidi"/>
          <w:b/>
          <w:bCs/>
        </w:rPr>
        <w:t>Be_hinderungen</w:t>
      </w:r>
      <w:proofErr w:type="spellEnd"/>
    </w:p>
    <w:p w14:paraId="56665580" w14:textId="30EC9971" w:rsidR="00202EA6" w:rsidRPr="00252459" w:rsidRDefault="001057AF" w:rsidP="00B00A6F">
      <w:pPr>
        <w:spacing w:line="276" w:lineRule="auto"/>
        <w:jc w:val="both"/>
        <w:rPr>
          <w:rFonts w:asciiTheme="majorBidi" w:hAnsiTheme="majorBidi" w:cstheme="majorBidi"/>
          <w:bCs/>
        </w:rPr>
      </w:pPr>
      <w:r w:rsidRPr="00252459">
        <w:rPr>
          <w:rFonts w:asciiTheme="majorBidi" w:hAnsiTheme="majorBidi" w:cstheme="majorBidi"/>
        </w:rPr>
        <w:t xml:space="preserve">Für Eltern mit Kindern, für Personen mit Care-Aufgaben und für Personen mit gesundheitlicher Einschränkung ist die Teilhabe am Fakultätsleben mit Herausforderungen verbunden. </w:t>
      </w:r>
      <w:r w:rsidR="00AC70F1" w:rsidRPr="00252459">
        <w:rPr>
          <w:rFonts w:asciiTheme="majorBidi" w:hAnsiTheme="majorBidi" w:cstheme="majorBidi"/>
        </w:rPr>
        <w:t>Die Theologische Fakultät will die Möglichkeiten für Eltern, an der Fakultät zu studieren und zu</w:t>
      </w:r>
      <w:r w:rsidR="00AC70F1" w:rsidRPr="00252459">
        <w:rPr>
          <w:rFonts w:asciiTheme="majorBidi" w:hAnsiTheme="majorBidi" w:cstheme="majorBidi"/>
          <w:spacing w:val="1"/>
        </w:rPr>
        <w:t xml:space="preserve"> </w:t>
      </w:r>
      <w:r w:rsidR="00AC70F1" w:rsidRPr="00252459">
        <w:rPr>
          <w:rFonts w:asciiTheme="majorBidi" w:hAnsiTheme="majorBidi" w:cstheme="majorBidi"/>
        </w:rPr>
        <w:t>arbeiten,</w:t>
      </w:r>
      <w:r w:rsidR="00AC70F1" w:rsidRPr="00252459">
        <w:rPr>
          <w:rFonts w:asciiTheme="majorBidi" w:hAnsiTheme="majorBidi" w:cstheme="majorBidi"/>
          <w:spacing w:val="-1"/>
        </w:rPr>
        <w:t xml:space="preserve"> </w:t>
      </w:r>
      <w:r w:rsidR="00AC70F1" w:rsidRPr="00252459">
        <w:rPr>
          <w:rFonts w:asciiTheme="majorBidi" w:hAnsiTheme="majorBidi" w:cstheme="majorBidi"/>
        </w:rPr>
        <w:t>weiter verbessern.</w:t>
      </w:r>
      <w:r w:rsidR="00AC70F1" w:rsidRPr="00252459">
        <w:rPr>
          <w:rFonts w:asciiTheme="majorBidi" w:hAnsiTheme="majorBidi" w:cstheme="majorBidi"/>
          <w:bCs/>
        </w:rPr>
        <w:t xml:space="preserve"> </w:t>
      </w:r>
      <w:r w:rsidR="00D86ED0" w:rsidRPr="00252459">
        <w:rPr>
          <w:rFonts w:asciiTheme="majorBidi" w:hAnsiTheme="majorBidi" w:cstheme="majorBidi"/>
          <w:bCs/>
        </w:rPr>
        <w:t xml:space="preserve">Das seit dem </w:t>
      </w:r>
      <w:proofErr w:type="spellStart"/>
      <w:r w:rsidR="00AC70F1" w:rsidRPr="00252459">
        <w:rPr>
          <w:rFonts w:asciiTheme="majorBidi" w:hAnsiTheme="majorBidi" w:cstheme="majorBidi"/>
          <w:bCs/>
        </w:rPr>
        <w:t>SoSe</w:t>
      </w:r>
      <w:proofErr w:type="spellEnd"/>
      <w:r w:rsidR="00AC70F1" w:rsidRPr="00252459">
        <w:rPr>
          <w:rFonts w:asciiTheme="majorBidi" w:hAnsiTheme="majorBidi" w:cstheme="majorBidi"/>
          <w:bCs/>
        </w:rPr>
        <w:t xml:space="preserve"> 2022 </w:t>
      </w:r>
      <w:r w:rsidR="00D86ED0" w:rsidRPr="00252459">
        <w:rPr>
          <w:rFonts w:asciiTheme="majorBidi" w:hAnsiTheme="majorBidi" w:cstheme="majorBidi"/>
          <w:bCs/>
        </w:rPr>
        <w:t xml:space="preserve">geöffnete </w:t>
      </w:r>
      <w:r w:rsidR="00AC70F1" w:rsidRPr="00252459">
        <w:rPr>
          <w:rFonts w:asciiTheme="majorBidi" w:hAnsiTheme="majorBidi" w:cstheme="majorBidi"/>
          <w:bCs/>
        </w:rPr>
        <w:t>Eltern-Kind-</w:t>
      </w:r>
      <w:r w:rsidR="00D86ED0" w:rsidRPr="00252459">
        <w:rPr>
          <w:rFonts w:asciiTheme="majorBidi" w:hAnsiTheme="majorBidi" w:cstheme="majorBidi"/>
          <w:bCs/>
        </w:rPr>
        <w:t xml:space="preserve">Zimmer </w:t>
      </w:r>
      <w:r w:rsidR="00AC70F1" w:rsidRPr="00252459">
        <w:rPr>
          <w:rFonts w:asciiTheme="majorBidi" w:hAnsiTheme="majorBidi" w:cstheme="majorBidi"/>
          <w:bCs/>
        </w:rPr>
        <w:t>(Raum</w:t>
      </w:r>
      <w:r w:rsidR="009C52B6" w:rsidRPr="00252459">
        <w:rPr>
          <w:rFonts w:asciiTheme="majorBidi" w:hAnsiTheme="majorBidi" w:cstheme="majorBidi"/>
          <w:bCs/>
        </w:rPr>
        <w:t xml:space="preserve"> </w:t>
      </w:r>
      <w:r w:rsidR="00AC70F1" w:rsidRPr="00252459">
        <w:rPr>
          <w:rFonts w:asciiTheme="majorBidi" w:hAnsiTheme="majorBidi" w:cstheme="majorBidi"/>
          <w:bCs/>
        </w:rPr>
        <w:t>310)</w:t>
      </w:r>
      <w:r w:rsidR="00D86ED0" w:rsidRPr="00252459">
        <w:rPr>
          <w:rFonts w:asciiTheme="majorBidi" w:hAnsiTheme="majorBidi" w:cstheme="majorBidi"/>
          <w:bCs/>
        </w:rPr>
        <w:t xml:space="preserve"> wird zusehends sowohl von Mitarbeitenden als auch Studierenden genutzt.</w:t>
      </w:r>
      <w:r w:rsidR="00AC70F1" w:rsidRPr="00252459">
        <w:rPr>
          <w:rFonts w:asciiTheme="majorBidi" w:hAnsiTheme="majorBidi" w:cstheme="majorBidi"/>
          <w:bCs/>
        </w:rPr>
        <w:t xml:space="preserve"> </w:t>
      </w:r>
      <w:r w:rsidR="00D86ED0" w:rsidRPr="00252459">
        <w:rPr>
          <w:rFonts w:asciiTheme="majorBidi" w:hAnsiTheme="majorBidi" w:cstheme="majorBidi"/>
          <w:bCs/>
        </w:rPr>
        <w:t xml:space="preserve">Das Zimmer </w:t>
      </w:r>
      <w:r w:rsidR="00AC70F1" w:rsidRPr="00252459">
        <w:rPr>
          <w:rFonts w:asciiTheme="majorBidi" w:hAnsiTheme="majorBidi" w:cstheme="majorBidi"/>
          <w:bCs/>
        </w:rPr>
        <w:t>dient Eltern und Kindern</w:t>
      </w:r>
      <w:r w:rsidR="00B00A6F" w:rsidRPr="00252459">
        <w:rPr>
          <w:rFonts w:asciiTheme="majorBidi" w:hAnsiTheme="majorBidi" w:cstheme="majorBidi"/>
          <w:bCs/>
        </w:rPr>
        <w:t xml:space="preserve"> sowie </w:t>
      </w:r>
      <w:r w:rsidR="00B00A6F" w:rsidRPr="00252459">
        <w:rPr>
          <w:rFonts w:asciiTheme="majorBidi" w:hAnsiTheme="majorBidi" w:cstheme="majorBidi"/>
          <w:bCs/>
        </w:rPr>
        <w:lastRenderedPageBreak/>
        <w:t>weiteren Betreuungspersonen</w:t>
      </w:r>
      <w:r w:rsidR="00AC70F1" w:rsidRPr="00252459">
        <w:rPr>
          <w:rFonts w:asciiTheme="majorBidi" w:hAnsiTheme="majorBidi" w:cstheme="majorBidi"/>
          <w:bCs/>
        </w:rPr>
        <w:t xml:space="preserve"> als Raum zum Spielen, Stillen, Wickeln und Pausieren. </w:t>
      </w:r>
      <w:r w:rsidRPr="00252459">
        <w:rPr>
          <w:rFonts w:asciiTheme="majorBidi" w:hAnsiTheme="majorBidi" w:cstheme="majorBidi"/>
          <w:bCs/>
        </w:rPr>
        <w:t>In</w:t>
      </w:r>
      <w:r w:rsidR="00202EA6" w:rsidRPr="00252459">
        <w:rPr>
          <w:rFonts w:asciiTheme="majorBidi" w:hAnsiTheme="majorBidi" w:cstheme="majorBidi"/>
          <w:bCs/>
        </w:rPr>
        <w:t xml:space="preserve"> Zeiten </w:t>
      </w:r>
      <w:r w:rsidRPr="00252459">
        <w:rPr>
          <w:rFonts w:asciiTheme="majorBidi" w:hAnsiTheme="majorBidi" w:cstheme="majorBidi"/>
          <w:bCs/>
        </w:rPr>
        <w:t>fehlender Kinderbetreuung (Notbetreuung bzw. eingeschränktes Betreuungsangebot aufgrund von Personalmangel, Streiksituation</w:t>
      </w:r>
      <w:r w:rsidR="00B00A6F" w:rsidRPr="00252459">
        <w:rPr>
          <w:rFonts w:asciiTheme="majorBidi" w:hAnsiTheme="majorBidi" w:cstheme="majorBidi"/>
          <w:bCs/>
        </w:rPr>
        <w:t xml:space="preserve"> und anderweitig begründetem Ausfall</w:t>
      </w:r>
      <w:r w:rsidRPr="00252459">
        <w:rPr>
          <w:rFonts w:asciiTheme="majorBidi" w:hAnsiTheme="majorBidi" w:cstheme="majorBidi"/>
          <w:bCs/>
        </w:rPr>
        <w:t xml:space="preserve"> </w:t>
      </w:r>
      <w:r w:rsidR="005A004E" w:rsidRPr="00252459">
        <w:rPr>
          <w:rFonts w:asciiTheme="majorBidi" w:hAnsiTheme="majorBidi" w:cstheme="majorBidi"/>
          <w:bCs/>
        </w:rPr>
        <w:t xml:space="preserve">der Betreuung </w:t>
      </w:r>
      <w:r w:rsidRPr="00252459">
        <w:rPr>
          <w:rFonts w:asciiTheme="majorBidi" w:hAnsiTheme="majorBidi" w:cstheme="majorBidi"/>
          <w:bCs/>
        </w:rPr>
        <w:t>in K</w:t>
      </w:r>
      <w:r w:rsidR="00B00A6F" w:rsidRPr="00252459">
        <w:rPr>
          <w:rFonts w:asciiTheme="majorBidi" w:hAnsiTheme="majorBidi" w:cstheme="majorBidi"/>
          <w:bCs/>
        </w:rPr>
        <w:t>indertages</w:t>
      </w:r>
      <w:r w:rsidR="005A004E" w:rsidRPr="00252459">
        <w:rPr>
          <w:rFonts w:asciiTheme="majorBidi" w:hAnsiTheme="majorBidi" w:cstheme="majorBidi"/>
          <w:bCs/>
        </w:rPr>
        <w:softHyphen/>
      </w:r>
      <w:r w:rsidR="00B00A6F" w:rsidRPr="00252459">
        <w:rPr>
          <w:rFonts w:asciiTheme="majorBidi" w:hAnsiTheme="majorBidi" w:cstheme="majorBidi"/>
          <w:bCs/>
        </w:rPr>
        <w:t>stätten und</w:t>
      </w:r>
      <w:r w:rsidRPr="00252459">
        <w:rPr>
          <w:rFonts w:asciiTheme="majorBidi" w:hAnsiTheme="majorBidi" w:cstheme="majorBidi"/>
          <w:bCs/>
        </w:rPr>
        <w:t xml:space="preserve"> Schulen) kann das Eltern-Kind-Zimmer eine Möglichkeit </w:t>
      </w:r>
      <w:proofErr w:type="gramStart"/>
      <w:r w:rsidRPr="00252459">
        <w:rPr>
          <w:rFonts w:asciiTheme="majorBidi" w:hAnsiTheme="majorBidi" w:cstheme="majorBidi"/>
          <w:bCs/>
        </w:rPr>
        <w:t>zur Präsenz</w:t>
      </w:r>
      <w:proofErr w:type="gramEnd"/>
      <w:r w:rsidRPr="00252459">
        <w:rPr>
          <w:rFonts w:asciiTheme="majorBidi" w:hAnsiTheme="majorBidi" w:cstheme="majorBidi"/>
          <w:bCs/>
        </w:rPr>
        <w:t xml:space="preserve"> an der Uni bieten.</w:t>
      </w:r>
    </w:p>
    <w:p w14:paraId="28926A04" w14:textId="29D77C04" w:rsidR="00415A7D" w:rsidRPr="00252459" w:rsidRDefault="00202EA6" w:rsidP="00D448D5">
      <w:pPr>
        <w:spacing w:line="276" w:lineRule="auto"/>
        <w:jc w:val="both"/>
        <w:rPr>
          <w:rFonts w:asciiTheme="majorBidi" w:hAnsiTheme="majorBidi" w:cstheme="majorBidi"/>
        </w:rPr>
      </w:pPr>
      <w:r w:rsidRPr="00252459">
        <w:rPr>
          <w:rFonts w:asciiTheme="majorBidi" w:hAnsiTheme="majorBidi" w:cstheme="majorBidi"/>
          <w:bCs/>
        </w:rPr>
        <w:t>Die Theologische Fakultät möchte ein Lehr-</w:t>
      </w:r>
      <w:r w:rsidR="001057AF" w:rsidRPr="00252459">
        <w:rPr>
          <w:rFonts w:asciiTheme="majorBidi" w:hAnsiTheme="majorBidi" w:cstheme="majorBidi"/>
          <w:bCs/>
        </w:rPr>
        <w:t xml:space="preserve"> und </w:t>
      </w:r>
      <w:r w:rsidRPr="00252459">
        <w:rPr>
          <w:rFonts w:asciiTheme="majorBidi" w:hAnsiTheme="majorBidi" w:cstheme="majorBidi"/>
          <w:bCs/>
        </w:rPr>
        <w:t xml:space="preserve">Lernort auch für </w:t>
      </w:r>
      <w:r w:rsidR="00C249F5" w:rsidRPr="00252459">
        <w:rPr>
          <w:rFonts w:asciiTheme="majorBidi" w:hAnsiTheme="majorBidi" w:cstheme="majorBidi"/>
          <w:bCs/>
        </w:rPr>
        <w:t>Personen mit chron</w:t>
      </w:r>
      <w:r w:rsidRPr="00252459">
        <w:rPr>
          <w:rFonts w:asciiTheme="majorBidi" w:hAnsiTheme="majorBidi" w:cstheme="majorBidi"/>
          <w:bCs/>
        </w:rPr>
        <w:t>ischen</w:t>
      </w:r>
      <w:r w:rsidR="00C249F5" w:rsidRPr="00252459">
        <w:rPr>
          <w:rFonts w:asciiTheme="majorBidi" w:hAnsiTheme="majorBidi" w:cstheme="majorBidi"/>
          <w:bCs/>
        </w:rPr>
        <w:t xml:space="preserve"> Erkrankungen</w:t>
      </w:r>
      <w:r w:rsidRPr="00252459">
        <w:rPr>
          <w:rFonts w:asciiTheme="majorBidi" w:hAnsiTheme="majorBidi" w:cstheme="majorBidi"/>
          <w:bCs/>
        </w:rPr>
        <w:t>, psychischen Erkrankungen und</w:t>
      </w:r>
      <w:r w:rsidR="00C249F5" w:rsidRPr="00252459">
        <w:rPr>
          <w:rFonts w:asciiTheme="majorBidi" w:hAnsiTheme="majorBidi" w:cstheme="majorBidi"/>
          <w:bCs/>
        </w:rPr>
        <w:t xml:space="preserve"> </w:t>
      </w:r>
      <w:proofErr w:type="spellStart"/>
      <w:r w:rsidR="00C249F5" w:rsidRPr="00252459">
        <w:rPr>
          <w:rFonts w:asciiTheme="majorBidi" w:hAnsiTheme="majorBidi" w:cstheme="majorBidi"/>
          <w:bCs/>
        </w:rPr>
        <w:t>Be_hinderung</w:t>
      </w:r>
      <w:proofErr w:type="spellEnd"/>
      <w:r w:rsidRPr="00252459">
        <w:rPr>
          <w:rFonts w:asciiTheme="majorBidi" w:hAnsiTheme="majorBidi" w:cstheme="majorBidi"/>
          <w:bCs/>
        </w:rPr>
        <w:t xml:space="preserve"> sein. </w:t>
      </w:r>
      <w:r w:rsidR="00E02957" w:rsidRPr="00252459">
        <w:rPr>
          <w:rFonts w:asciiTheme="majorBidi" w:hAnsiTheme="majorBidi" w:cstheme="majorBidi"/>
          <w:bCs/>
        </w:rPr>
        <w:t xml:space="preserve">Im Berichtzeitraum haben </w:t>
      </w:r>
      <w:r w:rsidRPr="00252459">
        <w:rPr>
          <w:rFonts w:asciiTheme="majorBidi" w:hAnsiTheme="majorBidi" w:cstheme="majorBidi"/>
          <w:bCs/>
        </w:rPr>
        <w:t xml:space="preserve">Studierende </w:t>
      </w:r>
      <w:r w:rsidR="00E02957" w:rsidRPr="00252459">
        <w:rPr>
          <w:rFonts w:asciiTheme="majorBidi" w:hAnsiTheme="majorBidi" w:cstheme="majorBidi"/>
          <w:bCs/>
        </w:rPr>
        <w:t xml:space="preserve">vermehrt </w:t>
      </w:r>
      <w:r w:rsidRPr="00252459">
        <w:rPr>
          <w:rFonts w:asciiTheme="majorBidi" w:hAnsiTheme="majorBidi" w:cstheme="majorBidi"/>
          <w:bCs/>
        </w:rPr>
        <w:t xml:space="preserve">auf die Dringlichkeit dieser Thematik hingewiesen. </w:t>
      </w:r>
      <w:r w:rsidR="00B00A6F" w:rsidRPr="00252459">
        <w:rPr>
          <w:rFonts w:asciiTheme="majorBidi" w:hAnsiTheme="majorBidi" w:cstheme="majorBidi"/>
          <w:bCs/>
        </w:rPr>
        <w:t xml:space="preserve">In Bezug auf </w:t>
      </w:r>
      <w:r w:rsidR="001057AF" w:rsidRPr="00252459">
        <w:rPr>
          <w:rFonts w:asciiTheme="majorBidi" w:hAnsiTheme="majorBidi" w:cstheme="majorBidi"/>
          <w:bCs/>
        </w:rPr>
        <w:t>Prüfungs</w:t>
      </w:r>
      <w:r w:rsidR="00564B25" w:rsidRPr="00252459">
        <w:rPr>
          <w:rFonts w:asciiTheme="majorBidi" w:hAnsiTheme="majorBidi" w:cstheme="majorBidi"/>
          <w:bCs/>
        </w:rPr>
        <w:softHyphen/>
      </w:r>
      <w:r w:rsidR="001057AF" w:rsidRPr="00252459">
        <w:rPr>
          <w:rFonts w:asciiTheme="majorBidi" w:hAnsiTheme="majorBidi" w:cstheme="majorBidi"/>
          <w:bCs/>
        </w:rPr>
        <w:t>situationen weist die Theologische Fakultät</w:t>
      </w:r>
      <w:r w:rsidR="007903F2" w:rsidRPr="00252459">
        <w:rPr>
          <w:rFonts w:asciiTheme="majorBidi" w:hAnsiTheme="majorBidi" w:cstheme="majorBidi"/>
          <w:bCs/>
        </w:rPr>
        <w:t xml:space="preserve"> aktiv</w:t>
      </w:r>
      <w:r w:rsidR="001057AF" w:rsidRPr="00252459">
        <w:rPr>
          <w:rFonts w:asciiTheme="majorBidi" w:hAnsiTheme="majorBidi" w:cstheme="majorBidi"/>
          <w:bCs/>
        </w:rPr>
        <w:t xml:space="preserve"> auf die Möglichkeit </w:t>
      </w:r>
      <w:r w:rsidR="00B00A6F" w:rsidRPr="00252459">
        <w:rPr>
          <w:rFonts w:asciiTheme="majorBidi" w:hAnsiTheme="majorBidi" w:cstheme="majorBidi"/>
          <w:bCs/>
        </w:rPr>
        <w:t xml:space="preserve">hin, einen </w:t>
      </w:r>
      <w:r w:rsidR="001057AF" w:rsidRPr="00252459">
        <w:rPr>
          <w:rFonts w:asciiTheme="majorBidi" w:hAnsiTheme="majorBidi" w:cstheme="majorBidi"/>
          <w:bCs/>
        </w:rPr>
        <w:t>Nachteilsausgleich</w:t>
      </w:r>
      <w:r w:rsidR="00B00A6F" w:rsidRPr="00252459">
        <w:rPr>
          <w:rFonts w:asciiTheme="majorBidi" w:hAnsiTheme="majorBidi" w:cstheme="majorBidi"/>
          <w:bCs/>
        </w:rPr>
        <w:t xml:space="preserve"> zu beantragen</w:t>
      </w:r>
      <w:r w:rsidR="00AC70F1" w:rsidRPr="00252459">
        <w:rPr>
          <w:rFonts w:asciiTheme="majorBidi" w:hAnsiTheme="majorBidi" w:cstheme="majorBidi"/>
        </w:rPr>
        <w:t xml:space="preserve">. Die </w:t>
      </w:r>
      <w:r w:rsidR="005B2E67" w:rsidRPr="00252459">
        <w:rPr>
          <w:rFonts w:asciiTheme="majorBidi" w:hAnsiTheme="majorBidi" w:cstheme="majorBidi"/>
        </w:rPr>
        <w:t>in de</w:t>
      </w:r>
      <w:r w:rsidR="00E02957" w:rsidRPr="00252459">
        <w:rPr>
          <w:rFonts w:asciiTheme="majorBidi" w:hAnsiTheme="majorBidi" w:cstheme="majorBidi"/>
        </w:rPr>
        <w:t>r</w:t>
      </w:r>
      <w:r w:rsidR="005B2E67" w:rsidRPr="00252459">
        <w:rPr>
          <w:rFonts w:asciiTheme="majorBidi" w:hAnsiTheme="majorBidi" w:cstheme="majorBidi"/>
        </w:rPr>
        <w:t xml:space="preserve"> Zeit der Pandemie </w:t>
      </w:r>
      <w:r w:rsidR="004A063B" w:rsidRPr="00252459">
        <w:rPr>
          <w:rFonts w:asciiTheme="majorBidi" w:hAnsiTheme="majorBidi" w:cstheme="majorBidi"/>
        </w:rPr>
        <w:t xml:space="preserve">bewährten Möglichkeiten der Teilhabe auch ohne Präsenz vor Ort </w:t>
      </w:r>
      <w:r w:rsidR="005B2E67" w:rsidRPr="00252459">
        <w:rPr>
          <w:rFonts w:asciiTheme="majorBidi" w:hAnsiTheme="majorBidi" w:cstheme="majorBidi"/>
        </w:rPr>
        <w:t xml:space="preserve">sollen so weit wie möglich </w:t>
      </w:r>
      <w:r w:rsidR="004A063B" w:rsidRPr="00252459">
        <w:rPr>
          <w:rFonts w:asciiTheme="majorBidi" w:hAnsiTheme="majorBidi" w:cstheme="majorBidi"/>
        </w:rPr>
        <w:t xml:space="preserve">weiterhin angeboten </w:t>
      </w:r>
      <w:r w:rsidR="005B2E67" w:rsidRPr="00252459">
        <w:rPr>
          <w:rFonts w:asciiTheme="majorBidi" w:hAnsiTheme="majorBidi" w:cstheme="majorBidi"/>
        </w:rPr>
        <w:t>werden</w:t>
      </w:r>
      <w:r w:rsidR="004A063B" w:rsidRPr="00252459">
        <w:rPr>
          <w:rFonts w:asciiTheme="majorBidi" w:hAnsiTheme="majorBidi" w:cstheme="majorBidi"/>
        </w:rPr>
        <w:t>:</w:t>
      </w:r>
      <w:r w:rsidR="00AC70F1" w:rsidRPr="00252459">
        <w:rPr>
          <w:rFonts w:asciiTheme="majorBidi" w:hAnsiTheme="majorBidi" w:cstheme="majorBidi"/>
        </w:rPr>
        <w:t xml:space="preserve"> Die Arbeit im Homeoffice sowie das Angebot von Lehrveranstaltungen in Videoformaten bzw. in hybriden Formaten erleichtern Eltern und Personen mit Care-Aufgaben die Vereinbarung von Familie und </w:t>
      </w:r>
      <w:r w:rsidR="007903F2" w:rsidRPr="00252459">
        <w:rPr>
          <w:rFonts w:asciiTheme="majorBidi" w:hAnsiTheme="majorBidi" w:cstheme="majorBidi"/>
        </w:rPr>
        <w:t>Studium bzw.</w:t>
      </w:r>
      <w:r w:rsidR="00E02957" w:rsidRPr="00252459">
        <w:rPr>
          <w:rFonts w:asciiTheme="majorBidi" w:hAnsiTheme="majorBidi" w:cstheme="majorBidi"/>
        </w:rPr>
        <w:t xml:space="preserve"> </w:t>
      </w:r>
      <w:r w:rsidR="00AC70F1" w:rsidRPr="00252459">
        <w:rPr>
          <w:rFonts w:asciiTheme="majorBidi" w:hAnsiTheme="majorBidi" w:cstheme="majorBidi"/>
        </w:rPr>
        <w:t>Beruf</w:t>
      </w:r>
      <w:r w:rsidR="00E02957" w:rsidRPr="00252459">
        <w:rPr>
          <w:rFonts w:asciiTheme="majorBidi" w:hAnsiTheme="majorBidi" w:cstheme="majorBidi"/>
        </w:rPr>
        <w:t>.</w:t>
      </w:r>
      <w:r w:rsidR="00AC70F1" w:rsidRPr="00252459">
        <w:rPr>
          <w:rFonts w:asciiTheme="majorBidi" w:hAnsiTheme="majorBidi" w:cstheme="majorBidi"/>
        </w:rPr>
        <w:t xml:space="preserve"> Darüber hinaus </w:t>
      </w:r>
      <w:r w:rsidR="00E02957" w:rsidRPr="00252459">
        <w:rPr>
          <w:rFonts w:asciiTheme="majorBidi" w:hAnsiTheme="majorBidi" w:cstheme="majorBidi"/>
        </w:rPr>
        <w:t>können durch diese Formate</w:t>
      </w:r>
      <w:r w:rsidR="00AC70F1" w:rsidRPr="00252459">
        <w:rPr>
          <w:rFonts w:asciiTheme="majorBidi" w:hAnsiTheme="majorBidi" w:cstheme="majorBidi"/>
        </w:rPr>
        <w:t xml:space="preserve"> auch Personen mit physischen oder psychischen Einschränkungen</w:t>
      </w:r>
      <w:r w:rsidR="007903F2" w:rsidRPr="00252459">
        <w:rPr>
          <w:rFonts w:asciiTheme="majorBidi" w:hAnsiTheme="majorBidi" w:cstheme="majorBidi"/>
        </w:rPr>
        <w:t xml:space="preserve"> zuverlässiger</w:t>
      </w:r>
      <w:r w:rsidR="00AC70F1" w:rsidRPr="00252459">
        <w:rPr>
          <w:rFonts w:asciiTheme="majorBidi" w:hAnsiTheme="majorBidi" w:cstheme="majorBidi"/>
        </w:rPr>
        <w:t xml:space="preserve"> an Studium und Arbeit </w:t>
      </w:r>
      <w:r w:rsidR="00E02957" w:rsidRPr="00252459">
        <w:rPr>
          <w:rFonts w:asciiTheme="majorBidi" w:hAnsiTheme="majorBidi" w:cstheme="majorBidi"/>
        </w:rPr>
        <w:t>teilhaben</w:t>
      </w:r>
      <w:r w:rsidR="00AC70F1" w:rsidRPr="00252459">
        <w:rPr>
          <w:rFonts w:asciiTheme="majorBidi" w:hAnsiTheme="majorBidi" w:cstheme="majorBidi"/>
        </w:rPr>
        <w:t>.</w:t>
      </w:r>
      <w:r w:rsidR="00E02957" w:rsidRPr="00252459">
        <w:rPr>
          <w:rFonts w:asciiTheme="majorBidi" w:hAnsiTheme="majorBidi" w:cstheme="majorBidi"/>
        </w:rPr>
        <w:t xml:space="preserve"> Die Wichtigkeit hy</w:t>
      </w:r>
      <w:r w:rsidR="00D448D5" w:rsidRPr="00252459">
        <w:rPr>
          <w:rFonts w:asciiTheme="majorBidi" w:hAnsiTheme="majorBidi" w:cstheme="majorBidi"/>
        </w:rPr>
        <w:t>brider Unterrichtsformate wurde</w:t>
      </w:r>
      <w:r w:rsidR="00E02957" w:rsidRPr="00252459">
        <w:rPr>
          <w:rFonts w:asciiTheme="majorBidi" w:hAnsiTheme="majorBidi" w:cstheme="majorBidi"/>
        </w:rPr>
        <w:t xml:space="preserve"> </w:t>
      </w:r>
      <w:r w:rsidR="00415A7D" w:rsidRPr="00252459">
        <w:rPr>
          <w:rFonts w:asciiTheme="majorBidi" w:hAnsiTheme="majorBidi" w:cstheme="majorBidi"/>
        </w:rPr>
        <w:t>im Lunch Talk</w:t>
      </w:r>
      <w:r w:rsidR="00041047" w:rsidRPr="00252459">
        <w:rPr>
          <w:rFonts w:asciiTheme="majorBidi" w:hAnsiTheme="majorBidi" w:cstheme="majorBidi"/>
        </w:rPr>
        <w:t xml:space="preserve"> – </w:t>
      </w:r>
      <w:r w:rsidR="00D448D5" w:rsidRPr="00252459">
        <w:rPr>
          <w:rFonts w:asciiTheme="majorBidi" w:hAnsiTheme="majorBidi" w:cstheme="majorBidi"/>
        </w:rPr>
        <w:t xml:space="preserve">am 12.06.24 </w:t>
      </w:r>
      <w:r w:rsidR="00415A7D" w:rsidRPr="00252459">
        <w:rPr>
          <w:rFonts w:asciiTheme="majorBidi" w:hAnsiTheme="majorBidi" w:cstheme="majorBidi"/>
        </w:rPr>
        <w:t xml:space="preserve">unter dem Motto „Lasst uns reden!“ zum Thema </w:t>
      </w:r>
      <w:r w:rsidR="004E7533" w:rsidRPr="00252459">
        <w:rPr>
          <w:rFonts w:asciiTheme="majorBidi" w:hAnsiTheme="majorBidi" w:cstheme="majorBidi"/>
        </w:rPr>
        <w:t>„</w:t>
      </w:r>
      <w:r w:rsidR="00822ECF" w:rsidRPr="00252459">
        <w:rPr>
          <w:rFonts w:asciiTheme="majorBidi" w:hAnsiTheme="majorBidi" w:cstheme="majorBidi"/>
        </w:rPr>
        <w:t xml:space="preserve">Studieren und Arbeiten </w:t>
      </w:r>
      <w:proofErr w:type="gramStart"/>
      <w:r w:rsidR="00822ECF" w:rsidRPr="00252459">
        <w:rPr>
          <w:rFonts w:asciiTheme="majorBidi" w:hAnsiTheme="majorBidi" w:cstheme="majorBidi"/>
        </w:rPr>
        <w:t>mit c</w:t>
      </w:r>
      <w:r w:rsidR="004A063B" w:rsidRPr="00252459">
        <w:rPr>
          <w:rFonts w:asciiTheme="majorBidi" w:hAnsiTheme="majorBidi" w:cstheme="majorBidi"/>
        </w:rPr>
        <w:t>hronischer Erk</w:t>
      </w:r>
      <w:r w:rsidR="00822ECF" w:rsidRPr="00252459">
        <w:rPr>
          <w:rFonts w:asciiTheme="majorBidi" w:hAnsiTheme="majorBidi" w:cstheme="majorBidi"/>
        </w:rPr>
        <w:t>r</w:t>
      </w:r>
      <w:r w:rsidR="004A063B" w:rsidRPr="00252459">
        <w:rPr>
          <w:rFonts w:asciiTheme="majorBidi" w:hAnsiTheme="majorBidi" w:cstheme="majorBidi"/>
        </w:rPr>
        <w:t>ankungen</w:t>
      </w:r>
      <w:proofErr w:type="gramEnd"/>
      <w:r w:rsidR="004A063B" w:rsidRPr="00252459">
        <w:rPr>
          <w:rFonts w:asciiTheme="majorBidi" w:hAnsiTheme="majorBidi" w:cstheme="majorBidi"/>
        </w:rPr>
        <w:t xml:space="preserve"> </w:t>
      </w:r>
      <w:r w:rsidR="00822ECF" w:rsidRPr="00252459">
        <w:rPr>
          <w:rFonts w:asciiTheme="majorBidi" w:hAnsiTheme="majorBidi" w:cstheme="majorBidi"/>
        </w:rPr>
        <w:t>und mit Kindern</w:t>
      </w:r>
      <w:r w:rsidR="00DA2B58" w:rsidRPr="00252459">
        <w:rPr>
          <w:rFonts w:asciiTheme="majorBidi" w:hAnsiTheme="majorBidi" w:cstheme="majorBidi"/>
        </w:rPr>
        <w:t>“</w:t>
      </w:r>
      <w:r w:rsidR="00822ECF" w:rsidRPr="00252459">
        <w:rPr>
          <w:rFonts w:asciiTheme="majorBidi" w:hAnsiTheme="majorBidi" w:cstheme="majorBidi"/>
        </w:rPr>
        <w:t xml:space="preserve"> </w:t>
      </w:r>
      <w:r w:rsidR="00D448D5" w:rsidRPr="00252459">
        <w:rPr>
          <w:rFonts w:asciiTheme="majorBidi" w:hAnsiTheme="majorBidi" w:cstheme="majorBidi"/>
        </w:rPr>
        <w:t>abgehalten</w:t>
      </w:r>
      <w:r w:rsidR="00041047" w:rsidRPr="00252459">
        <w:rPr>
          <w:rFonts w:asciiTheme="majorBidi" w:hAnsiTheme="majorBidi" w:cstheme="majorBidi"/>
        </w:rPr>
        <w:t xml:space="preserve"> – </w:t>
      </w:r>
      <w:r w:rsidR="00415A7D" w:rsidRPr="00252459">
        <w:rPr>
          <w:rFonts w:asciiTheme="majorBidi" w:hAnsiTheme="majorBidi" w:cstheme="majorBidi"/>
        </w:rPr>
        <w:t xml:space="preserve">von allen Seiten betont. </w:t>
      </w:r>
    </w:p>
    <w:p w14:paraId="5BFE3008" w14:textId="23BFFE28" w:rsidR="00CF42E6" w:rsidRPr="00252459" w:rsidRDefault="00D448D5" w:rsidP="00D448D5">
      <w:pPr>
        <w:spacing w:line="276" w:lineRule="auto"/>
        <w:jc w:val="both"/>
        <w:rPr>
          <w:rFonts w:asciiTheme="majorBidi" w:hAnsiTheme="majorBidi" w:cstheme="majorBidi"/>
        </w:rPr>
      </w:pPr>
      <w:r w:rsidRPr="00252459">
        <w:rPr>
          <w:rFonts w:asciiTheme="majorBidi" w:hAnsiTheme="majorBidi" w:cstheme="majorBidi"/>
        </w:rPr>
        <w:t xml:space="preserve">Weiterhin achtet die Fakultät darauf, dass die </w:t>
      </w:r>
      <w:r w:rsidR="00CF42E6" w:rsidRPr="00252459">
        <w:rPr>
          <w:rFonts w:asciiTheme="majorBidi" w:hAnsiTheme="majorBidi" w:cstheme="majorBidi"/>
        </w:rPr>
        <w:t xml:space="preserve">im Gleichstellungskonzept 2020 niedergelegte Selbstverpflichtung zur Terminierung </w:t>
      </w:r>
      <w:r w:rsidRPr="00252459">
        <w:rPr>
          <w:rFonts w:asciiTheme="majorBidi" w:hAnsiTheme="majorBidi" w:cstheme="majorBidi"/>
        </w:rPr>
        <w:t xml:space="preserve">von </w:t>
      </w:r>
      <w:r w:rsidR="00CF42E6" w:rsidRPr="00252459">
        <w:rPr>
          <w:rFonts w:asciiTheme="majorBidi" w:hAnsiTheme="majorBidi" w:cstheme="majorBidi"/>
        </w:rPr>
        <w:t>Gremiensitzungen vor 17 Uhr</w:t>
      </w:r>
      <w:r w:rsidRPr="00252459">
        <w:rPr>
          <w:rFonts w:asciiTheme="majorBidi" w:hAnsiTheme="majorBidi" w:cstheme="majorBidi"/>
        </w:rPr>
        <w:t xml:space="preserve"> beherzigt wird.</w:t>
      </w:r>
      <w:r w:rsidR="00CF42E6" w:rsidRPr="00252459">
        <w:rPr>
          <w:rFonts w:asciiTheme="majorBidi" w:hAnsiTheme="majorBidi" w:cstheme="majorBidi"/>
        </w:rPr>
        <w:t xml:space="preserve"> </w:t>
      </w:r>
    </w:p>
    <w:p w14:paraId="7FEF98AB" w14:textId="77777777" w:rsidR="00AC70F1" w:rsidRPr="00252459" w:rsidRDefault="00AC70F1" w:rsidP="00AC70F1">
      <w:pPr>
        <w:spacing w:line="276" w:lineRule="auto"/>
        <w:jc w:val="both"/>
        <w:rPr>
          <w:rFonts w:asciiTheme="majorBidi" w:hAnsiTheme="majorBidi" w:cstheme="majorBidi"/>
        </w:rPr>
      </w:pPr>
    </w:p>
    <w:p w14:paraId="25C0D45B" w14:textId="3D46BE9E" w:rsidR="00AC70F1" w:rsidRPr="00252459" w:rsidRDefault="00AC70F1" w:rsidP="00AC70F1">
      <w:pPr>
        <w:pStyle w:val="berschrift1"/>
        <w:numPr>
          <w:ilvl w:val="0"/>
          <w:numId w:val="0"/>
        </w:numPr>
        <w:spacing w:before="0"/>
        <w:jc w:val="both"/>
        <w:rPr>
          <w:rFonts w:asciiTheme="majorBidi" w:hAnsiTheme="majorBidi"/>
          <w:sz w:val="22"/>
          <w:szCs w:val="22"/>
        </w:rPr>
      </w:pPr>
      <w:bookmarkStart w:id="1" w:name="_Hlk170149273"/>
      <w:r w:rsidRPr="00252459">
        <w:rPr>
          <w:rFonts w:asciiTheme="majorBidi" w:hAnsiTheme="majorBidi"/>
          <w:sz w:val="22"/>
          <w:szCs w:val="22"/>
        </w:rPr>
        <w:t>2.4 Div</w:t>
      </w:r>
      <w:bookmarkEnd w:id="1"/>
      <w:r w:rsidRPr="00252459">
        <w:rPr>
          <w:rFonts w:asciiTheme="majorBidi" w:hAnsiTheme="majorBidi"/>
          <w:sz w:val="22"/>
          <w:szCs w:val="22"/>
        </w:rPr>
        <w:t xml:space="preserve">ersitätssensibilität für genderqueere Personen </w:t>
      </w:r>
    </w:p>
    <w:p w14:paraId="719F60D3" w14:textId="77777777" w:rsidR="00AC70F1" w:rsidRPr="00252459" w:rsidRDefault="00AC70F1" w:rsidP="00AC70F1">
      <w:pPr>
        <w:spacing w:line="276" w:lineRule="auto"/>
        <w:jc w:val="both"/>
        <w:rPr>
          <w:rFonts w:asciiTheme="majorBidi" w:hAnsiTheme="majorBidi" w:cstheme="majorBidi"/>
        </w:rPr>
      </w:pPr>
      <w:r w:rsidRPr="00252459">
        <w:rPr>
          <w:rFonts w:asciiTheme="majorBidi" w:hAnsiTheme="majorBidi" w:cstheme="majorBidi"/>
        </w:rPr>
        <w:t xml:space="preserve">Die Mitglieder der Fakultät sind sich bewusst, dass eine geschlechtersensible Sprache einen wichtigen Beitrag zu diskriminierungsfreiem Miteinander und zur Verwirklichung der Chancengleicht darstellt. Dazu gehört insbesondere die Anrede anderer Personen entsprechend den von diesen gewählten Namen und Pronomina. Zur Förderung eines respektvollen Umgangs empfiehlt die Gleichstellungskommission, Personen den Raum zu geben, zu sagen, wie sie angesprochen werden möchten, und in gendersensibler Sprache auch nicht-binäre Personen einzubeziehen. Als Grundlage kann der Leitfaden </w:t>
      </w:r>
      <w:r w:rsidRPr="00252459">
        <w:rPr>
          <w:rFonts w:asciiTheme="majorBidi" w:hAnsiTheme="majorBidi" w:cstheme="majorBidi"/>
          <w:i/>
          <w:iCs/>
        </w:rPr>
        <w:t>Sprache ist vielfältig – Leitfaden der HU für geschlechtergerechte Sprache</w:t>
      </w:r>
      <w:r w:rsidRPr="00252459">
        <w:rPr>
          <w:rStyle w:val="Funotenzeichen"/>
          <w:rFonts w:asciiTheme="majorBidi" w:hAnsiTheme="majorBidi" w:cstheme="majorBidi"/>
        </w:rPr>
        <w:footnoteReference w:id="2"/>
      </w:r>
      <w:r w:rsidRPr="00252459">
        <w:rPr>
          <w:rFonts w:asciiTheme="majorBidi" w:hAnsiTheme="majorBidi" w:cstheme="majorBidi"/>
        </w:rPr>
        <w:t xml:space="preserve"> dienen.</w:t>
      </w:r>
    </w:p>
    <w:p w14:paraId="0A528095" w14:textId="70DF3347" w:rsidR="00AC70F1" w:rsidRPr="00252459" w:rsidRDefault="00AC70F1" w:rsidP="00976175">
      <w:pPr>
        <w:spacing w:line="276" w:lineRule="auto"/>
        <w:jc w:val="both"/>
        <w:rPr>
          <w:rFonts w:asciiTheme="majorBidi" w:hAnsiTheme="majorBidi" w:cstheme="majorBidi"/>
        </w:rPr>
      </w:pPr>
      <w:r w:rsidRPr="00252459">
        <w:rPr>
          <w:rFonts w:asciiTheme="majorBidi" w:hAnsiTheme="majorBidi" w:cstheme="majorBidi"/>
        </w:rPr>
        <w:t>Das Gleichstellungskonzept von 202</w:t>
      </w:r>
      <w:r w:rsidR="00285DA3" w:rsidRPr="00252459">
        <w:rPr>
          <w:rFonts w:asciiTheme="majorBidi" w:hAnsiTheme="majorBidi" w:cstheme="majorBidi"/>
        </w:rPr>
        <w:t xml:space="preserve">2 sah ein </w:t>
      </w:r>
      <w:r w:rsidR="00D02D19" w:rsidRPr="00252459">
        <w:rPr>
          <w:rFonts w:asciiTheme="majorBidi" w:hAnsiTheme="majorBidi" w:cstheme="majorBidi"/>
        </w:rPr>
        <w:t>Angebot zur</w:t>
      </w:r>
      <w:r w:rsidRPr="00252459">
        <w:rPr>
          <w:rFonts w:asciiTheme="majorBidi" w:hAnsiTheme="majorBidi" w:cstheme="majorBidi"/>
        </w:rPr>
        <w:t xml:space="preserve"> Diversitätssensibilisierung für die Mitglieder der Fakultät für das alltägliche Miteinander, Sprache und Verhalten in der Lehre und in Publikationen</w:t>
      </w:r>
      <w:r w:rsidR="00285DA3" w:rsidRPr="00252459">
        <w:rPr>
          <w:rFonts w:asciiTheme="majorBidi" w:hAnsiTheme="majorBidi" w:cstheme="majorBidi"/>
        </w:rPr>
        <w:t xml:space="preserve"> vor. Die Gleichstellungskommission kam diesem nach, indem sie am </w:t>
      </w:r>
      <w:r w:rsidR="00A34CC3" w:rsidRPr="00252459">
        <w:rPr>
          <w:rFonts w:asciiTheme="majorBidi" w:hAnsiTheme="majorBidi" w:cstheme="majorBidi"/>
        </w:rPr>
        <w:t xml:space="preserve">31.01.2024 im </w:t>
      </w:r>
      <w:r w:rsidR="00285DA3" w:rsidRPr="00252459">
        <w:rPr>
          <w:rFonts w:asciiTheme="majorBidi" w:hAnsiTheme="majorBidi" w:cstheme="majorBidi"/>
        </w:rPr>
        <w:t xml:space="preserve">Format </w:t>
      </w:r>
      <w:r w:rsidR="00A34CC3" w:rsidRPr="00252459">
        <w:rPr>
          <w:rFonts w:asciiTheme="majorBidi" w:hAnsiTheme="majorBidi" w:cstheme="majorBidi"/>
        </w:rPr>
        <w:t xml:space="preserve">eines </w:t>
      </w:r>
      <w:r w:rsidR="00285DA3" w:rsidRPr="00252459">
        <w:rPr>
          <w:rFonts w:asciiTheme="majorBidi" w:hAnsiTheme="majorBidi" w:cstheme="majorBidi"/>
        </w:rPr>
        <w:t>Lu</w:t>
      </w:r>
      <w:r w:rsidR="00A34CC3" w:rsidRPr="00252459">
        <w:rPr>
          <w:rFonts w:asciiTheme="majorBidi" w:hAnsiTheme="majorBidi" w:cstheme="majorBidi"/>
        </w:rPr>
        <w:t>n</w:t>
      </w:r>
      <w:r w:rsidR="00285DA3" w:rsidRPr="00252459">
        <w:rPr>
          <w:rFonts w:asciiTheme="majorBidi" w:hAnsiTheme="majorBidi" w:cstheme="majorBidi"/>
        </w:rPr>
        <w:t>ch</w:t>
      </w:r>
      <w:r w:rsidR="0045472A" w:rsidRPr="00252459">
        <w:rPr>
          <w:rFonts w:asciiTheme="majorBidi" w:hAnsiTheme="majorBidi" w:cstheme="majorBidi"/>
        </w:rPr>
        <w:t xml:space="preserve"> </w:t>
      </w:r>
      <w:r w:rsidR="00285DA3" w:rsidRPr="00252459">
        <w:rPr>
          <w:rFonts w:asciiTheme="majorBidi" w:hAnsiTheme="majorBidi" w:cstheme="majorBidi"/>
        </w:rPr>
        <w:t>Talk</w:t>
      </w:r>
      <w:r w:rsidR="0045472A" w:rsidRPr="00252459">
        <w:rPr>
          <w:rFonts w:asciiTheme="majorBidi" w:hAnsiTheme="majorBidi" w:cstheme="majorBidi"/>
        </w:rPr>
        <w:t xml:space="preserve"> unter dem Motto</w:t>
      </w:r>
      <w:r w:rsidR="00285DA3" w:rsidRPr="00252459">
        <w:rPr>
          <w:rFonts w:asciiTheme="majorBidi" w:hAnsiTheme="majorBidi" w:cstheme="majorBidi"/>
        </w:rPr>
        <w:t xml:space="preserve"> „Lasst uns reden!“ zum Thema </w:t>
      </w:r>
      <w:r w:rsidR="00A34CC3" w:rsidRPr="00252459">
        <w:rPr>
          <w:rFonts w:asciiTheme="majorBidi" w:hAnsiTheme="majorBidi" w:cstheme="majorBidi"/>
        </w:rPr>
        <w:t xml:space="preserve">„Einander ansprechend anreden“ </w:t>
      </w:r>
      <w:r w:rsidR="00285DA3" w:rsidRPr="00252459">
        <w:rPr>
          <w:rFonts w:asciiTheme="majorBidi" w:hAnsiTheme="majorBidi" w:cstheme="majorBidi"/>
        </w:rPr>
        <w:t>einlud.</w:t>
      </w:r>
      <w:r w:rsidR="00976175" w:rsidRPr="00252459">
        <w:rPr>
          <w:rFonts w:asciiTheme="majorBidi" w:hAnsiTheme="majorBidi" w:cstheme="majorBidi"/>
        </w:rPr>
        <w:t xml:space="preserve"> </w:t>
      </w:r>
    </w:p>
    <w:p w14:paraId="1A1B8669" w14:textId="5DC90509" w:rsidR="00AC70F1" w:rsidRPr="00252459" w:rsidRDefault="00AC70F1" w:rsidP="00AC70F1">
      <w:pPr>
        <w:spacing w:line="276" w:lineRule="auto"/>
        <w:jc w:val="both"/>
        <w:rPr>
          <w:rFonts w:asciiTheme="majorBidi" w:hAnsiTheme="majorBidi" w:cstheme="majorBidi"/>
        </w:rPr>
      </w:pPr>
      <w:r w:rsidRPr="00252459">
        <w:rPr>
          <w:rFonts w:asciiTheme="majorBidi" w:hAnsiTheme="majorBidi" w:cstheme="majorBidi"/>
        </w:rPr>
        <w:t xml:space="preserve">Um gender-queere Personen auch im alltäglichen Leben gleichzustellen, verfügt die Fakultät seit dem </w:t>
      </w:r>
      <w:proofErr w:type="spellStart"/>
      <w:r w:rsidRPr="00252459">
        <w:rPr>
          <w:rFonts w:asciiTheme="majorBidi" w:hAnsiTheme="majorBidi" w:cstheme="majorBidi"/>
        </w:rPr>
        <w:t>SoSe</w:t>
      </w:r>
      <w:proofErr w:type="spellEnd"/>
      <w:r w:rsidRPr="00252459">
        <w:rPr>
          <w:rFonts w:asciiTheme="majorBidi" w:hAnsiTheme="majorBidi" w:cstheme="majorBidi"/>
        </w:rPr>
        <w:t xml:space="preserve"> 2022 über zwei genderneutrale Toiletten im vierten und fünften Obergeschoss. Die Umsetzung gelang in Zusammenarbeit mit der </w:t>
      </w:r>
      <w:r w:rsidRPr="00252459">
        <w:rPr>
          <w:rFonts w:asciiTheme="majorBidi" w:hAnsiTheme="majorBidi" w:cstheme="majorBidi"/>
          <w:i/>
          <w:iCs/>
        </w:rPr>
        <w:t>Gebäude- und Nachhaltigkeitskommission</w:t>
      </w:r>
      <w:r w:rsidRPr="00252459">
        <w:rPr>
          <w:rFonts w:asciiTheme="majorBidi" w:hAnsiTheme="majorBidi" w:cstheme="majorBidi"/>
        </w:rPr>
        <w:t xml:space="preserve"> und der Verwaltung der Theologischen Fakultät sowie mit der Technischen Abteilung der Humboldt-Universität. </w:t>
      </w:r>
    </w:p>
    <w:p w14:paraId="7CC68510" w14:textId="77777777" w:rsidR="009A06D3" w:rsidRPr="00252459" w:rsidRDefault="009A06D3" w:rsidP="00AC70F1">
      <w:pPr>
        <w:spacing w:line="276" w:lineRule="auto"/>
        <w:jc w:val="both"/>
        <w:rPr>
          <w:rFonts w:asciiTheme="majorBidi" w:hAnsiTheme="majorBidi" w:cstheme="majorBidi"/>
        </w:rPr>
      </w:pPr>
    </w:p>
    <w:p w14:paraId="77CDD652" w14:textId="705E297D" w:rsidR="00AC70F1" w:rsidRPr="00252459" w:rsidRDefault="009A06D3" w:rsidP="009A06D3">
      <w:pPr>
        <w:pStyle w:val="berschrift1"/>
        <w:numPr>
          <w:ilvl w:val="0"/>
          <w:numId w:val="0"/>
        </w:numPr>
        <w:spacing w:before="0"/>
        <w:jc w:val="both"/>
        <w:rPr>
          <w:rFonts w:asciiTheme="majorBidi" w:hAnsiTheme="majorBidi"/>
          <w:b w:val="0"/>
          <w:bCs w:val="0"/>
        </w:rPr>
      </w:pPr>
      <w:r w:rsidRPr="00252459">
        <w:rPr>
          <w:rFonts w:asciiTheme="majorBidi" w:hAnsiTheme="majorBidi"/>
          <w:sz w:val="22"/>
          <w:szCs w:val="22"/>
        </w:rPr>
        <w:t xml:space="preserve">2.5 </w:t>
      </w:r>
      <w:r w:rsidR="00AC70F1" w:rsidRPr="00252459">
        <w:rPr>
          <w:rFonts w:asciiTheme="majorBidi" w:hAnsiTheme="majorBidi"/>
        </w:rPr>
        <w:t>Erstakademiker*innen</w:t>
      </w:r>
    </w:p>
    <w:p w14:paraId="2EA3F662" w14:textId="5612AE17" w:rsidR="00AC70F1" w:rsidRPr="00252459" w:rsidRDefault="00AC70F1" w:rsidP="00AC70F1">
      <w:pPr>
        <w:spacing w:line="276" w:lineRule="auto"/>
        <w:jc w:val="both"/>
        <w:rPr>
          <w:rFonts w:asciiTheme="majorBidi" w:hAnsiTheme="majorBidi" w:cstheme="majorBidi"/>
        </w:rPr>
      </w:pPr>
      <w:r w:rsidRPr="00252459">
        <w:rPr>
          <w:rFonts w:asciiTheme="majorBidi" w:hAnsiTheme="majorBidi" w:cstheme="majorBidi"/>
        </w:rPr>
        <w:t>Erstakademiker*innen</w:t>
      </w:r>
      <w:r w:rsidRPr="00252459">
        <w:rPr>
          <w:rFonts w:asciiTheme="majorBidi" w:hAnsiTheme="majorBidi" w:cstheme="majorBidi"/>
          <w:spacing w:val="1"/>
        </w:rPr>
        <w:t xml:space="preserve"> </w:t>
      </w:r>
      <w:r w:rsidRPr="00252459">
        <w:rPr>
          <w:rFonts w:asciiTheme="majorBidi" w:hAnsiTheme="majorBidi" w:cstheme="majorBidi"/>
        </w:rPr>
        <w:t>sind</w:t>
      </w:r>
      <w:r w:rsidRPr="00252459">
        <w:rPr>
          <w:rFonts w:asciiTheme="majorBidi" w:hAnsiTheme="majorBidi" w:cstheme="majorBidi"/>
          <w:spacing w:val="1"/>
        </w:rPr>
        <w:t xml:space="preserve"> </w:t>
      </w:r>
      <w:r w:rsidRPr="00252459">
        <w:rPr>
          <w:rFonts w:asciiTheme="majorBidi" w:hAnsiTheme="majorBidi" w:cstheme="majorBidi"/>
        </w:rPr>
        <w:t>sowohl</w:t>
      </w:r>
      <w:r w:rsidRPr="00252459">
        <w:rPr>
          <w:rFonts w:asciiTheme="majorBidi" w:hAnsiTheme="majorBidi" w:cstheme="majorBidi"/>
          <w:spacing w:val="1"/>
        </w:rPr>
        <w:t xml:space="preserve"> </w:t>
      </w:r>
      <w:r w:rsidRPr="00252459">
        <w:rPr>
          <w:rFonts w:asciiTheme="majorBidi" w:hAnsiTheme="majorBidi" w:cstheme="majorBidi"/>
        </w:rPr>
        <w:t>im</w:t>
      </w:r>
      <w:r w:rsidRPr="00252459">
        <w:rPr>
          <w:rFonts w:asciiTheme="majorBidi" w:hAnsiTheme="majorBidi" w:cstheme="majorBidi"/>
          <w:spacing w:val="1"/>
        </w:rPr>
        <w:t xml:space="preserve"> </w:t>
      </w:r>
      <w:r w:rsidRPr="00252459">
        <w:rPr>
          <w:rFonts w:asciiTheme="majorBidi" w:hAnsiTheme="majorBidi" w:cstheme="majorBidi"/>
        </w:rPr>
        <w:t>Studium</w:t>
      </w:r>
      <w:r w:rsidRPr="00252459">
        <w:rPr>
          <w:rFonts w:asciiTheme="majorBidi" w:hAnsiTheme="majorBidi" w:cstheme="majorBidi"/>
          <w:spacing w:val="1"/>
        </w:rPr>
        <w:t xml:space="preserve"> </w:t>
      </w:r>
      <w:r w:rsidRPr="00252459">
        <w:rPr>
          <w:rFonts w:asciiTheme="majorBidi" w:hAnsiTheme="majorBidi" w:cstheme="majorBidi"/>
        </w:rPr>
        <w:t>als</w:t>
      </w:r>
      <w:r w:rsidRPr="00252459">
        <w:rPr>
          <w:rFonts w:asciiTheme="majorBidi" w:hAnsiTheme="majorBidi" w:cstheme="majorBidi"/>
          <w:spacing w:val="1"/>
        </w:rPr>
        <w:t xml:space="preserve"> </w:t>
      </w:r>
      <w:r w:rsidRPr="00252459">
        <w:rPr>
          <w:rFonts w:asciiTheme="majorBidi" w:hAnsiTheme="majorBidi" w:cstheme="majorBidi"/>
        </w:rPr>
        <w:t>auch</w:t>
      </w:r>
      <w:r w:rsidRPr="00252459">
        <w:rPr>
          <w:rFonts w:asciiTheme="majorBidi" w:hAnsiTheme="majorBidi" w:cstheme="majorBidi"/>
          <w:spacing w:val="1"/>
        </w:rPr>
        <w:t xml:space="preserve"> </w:t>
      </w:r>
      <w:r w:rsidRPr="00252459">
        <w:rPr>
          <w:rFonts w:asciiTheme="majorBidi" w:hAnsiTheme="majorBidi" w:cstheme="majorBidi"/>
        </w:rPr>
        <w:t>in</w:t>
      </w:r>
      <w:r w:rsidRPr="00252459">
        <w:rPr>
          <w:rFonts w:asciiTheme="majorBidi" w:hAnsiTheme="majorBidi" w:cstheme="majorBidi"/>
          <w:spacing w:val="1"/>
        </w:rPr>
        <w:t xml:space="preserve"> </w:t>
      </w:r>
      <w:r w:rsidRPr="00252459">
        <w:rPr>
          <w:rFonts w:asciiTheme="majorBidi" w:hAnsiTheme="majorBidi" w:cstheme="majorBidi"/>
        </w:rPr>
        <w:t>der</w:t>
      </w:r>
      <w:r w:rsidRPr="00252459">
        <w:rPr>
          <w:rFonts w:asciiTheme="majorBidi" w:hAnsiTheme="majorBidi" w:cstheme="majorBidi"/>
          <w:spacing w:val="1"/>
        </w:rPr>
        <w:t xml:space="preserve"> </w:t>
      </w:r>
      <w:r w:rsidRPr="00252459">
        <w:rPr>
          <w:rFonts w:asciiTheme="majorBidi" w:hAnsiTheme="majorBidi" w:cstheme="majorBidi"/>
        </w:rPr>
        <w:t>weiteren</w:t>
      </w:r>
      <w:r w:rsidRPr="00252459">
        <w:rPr>
          <w:rFonts w:asciiTheme="majorBidi" w:hAnsiTheme="majorBidi" w:cstheme="majorBidi"/>
          <w:spacing w:val="1"/>
        </w:rPr>
        <w:t xml:space="preserve"> </w:t>
      </w:r>
      <w:r w:rsidRPr="00252459">
        <w:rPr>
          <w:rFonts w:asciiTheme="majorBidi" w:hAnsiTheme="majorBidi" w:cstheme="majorBidi"/>
        </w:rPr>
        <w:t>wissenschaftlichen</w:t>
      </w:r>
      <w:r w:rsidRPr="00252459">
        <w:rPr>
          <w:rFonts w:asciiTheme="majorBidi" w:hAnsiTheme="majorBidi" w:cstheme="majorBidi"/>
          <w:spacing w:val="1"/>
        </w:rPr>
        <w:t xml:space="preserve"> </w:t>
      </w:r>
      <w:r w:rsidRPr="00252459">
        <w:rPr>
          <w:rFonts w:asciiTheme="majorBidi" w:hAnsiTheme="majorBidi" w:cstheme="majorBidi"/>
        </w:rPr>
        <w:t xml:space="preserve">Laufbahn vor besondere Herausforderungen gestellt. Die Theologische Fakultät will diese Herausforderungen berücksichtigen und Erstakademiker*innen im Studium und auf dem Weg der wissenschaftlichen Qualifikation unterstützen. Im </w:t>
      </w:r>
      <w:proofErr w:type="spellStart"/>
      <w:r w:rsidRPr="00252459">
        <w:rPr>
          <w:rFonts w:asciiTheme="majorBidi" w:hAnsiTheme="majorBidi" w:cstheme="majorBidi"/>
        </w:rPr>
        <w:t>WiSe</w:t>
      </w:r>
      <w:proofErr w:type="spellEnd"/>
      <w:r w:rsidRPr="00252459">
        <w:rPr>
          <w:rFonts w:asciiTheme="majorBidi" w:hAnsiTheme="majorBidi" w:cstheme="majorBidi"/>
        </w:rPr>
        <w:t xml:space="preserve"> 2020/21 gründete sich das statusgruppenverbindende „Forum für Erstakademiker*innen der Theologischen Fakultät“. In diesem</w:t>
      </w:r>
      <w:r w:rsidR="00454899" w:rsidRPr="00252459">
        <w:rPr>
          <w:rFonts w:asciiTheme="majorBidi" w:hAnsiTheme="majorBidi" w:cstheme="majorBidi"/>
        </w:rPr>
        <w:t xml:space="preserve"> kamen bis zum Sommersemester 2024 r</w:t>
      </w:r>
      <w:r w:rsidRPr="00252459">
        <w:rPr>
          <w:rFonts w:asciiTheme="majorBidi" w:hAnsiTheme="majorBidi" w:cstheme="majorBidi"/>
        </w:rPr>
        <w:t xml:space="preserve">egelmäßig Personen, die sich selbst als Erstakademiker*innen verstehen, zusammen. </w:t>
      </w:r>
    </w:p>
    <w:p w14:paraId="2084616A" w14:textId="3A9A082D" w:rsidR="00013D15" w:rsidRPr="00252459" w:rsidRDefault="00AC70F1">
      <w:pPr>
        <w:spacing w:line="283" w:lineRule="auto"/>
        <w:ind w:right="-55"/>
        <w:jc w:val="both"/>
      </w:pPr>
      <w:r w:rsidRPr="00252459">
        <w:rPr>
          <w:rFonts w:asciiTheme="majorBidi" w:hAnsiTheme="majorBidi" w:cstheme="majorBidi"/>
        </w:rPr>
        <w:t xml:space="preserve">Durch </w:t>
      </w:r>
      <w:r w:rsidR="00AC077A" w:rsidRPr="00252459">
        <w:rPr>
          <w:rFonts w:asciiTheme="majorBidi" w:hAnsiTheme="majorBidi" w:cstheme="majorBidi"/>
        </w:rPr>
        <w:t>die im Jahr 2022 eingeworbenen</w:t>
      </w:r>
      <w:r w:rsidRPr="00252459">
        <w:rPr>
          <w:rFonts w:asciiTheme="majorBidi" w:hAnsiTheme="majorBidi" w:cstheme="majorBidi"/>
        </w:rPr>
        <w:t xml:space="preserve"> Drittmittel </w:t>
      </w:r>
      <w:r w:rsidR="00AC077A" w:rsidRPr="00252459">
        <w:rPr>
          <w:rFonts w:asciiTheme="majorBidi" w:hAnsiTheme="majorBidi" w:cstheme="majorBidi"/>
        </w:rPr>
        <w:t xml:space="preserve">aus einer Förderlinie der Berlin University Alliance (BUA) </w:t>
      </w:r>
      <w:r w:rsidRPr="00252459">
        <w:rPr>
          <w:rFonts w:asciiTheme="majorBidi" w:hAnsiTheme="majorBidi" w:cstheme="majorBidi"/>
        </w:rPr>
        <w:t xml:space="preserve">und </w:t>
      </w:r>
      <w:r w:rsidR="00AC077A" w:rsidRPr="00252459">
        <w:rPr>
          <w:rFonts w:asciiTheme="majorBidi" w:hAnsiTheme="majorBidi" w:cstheme="majorBidi"/>
        </w:rPr>
        <w:t xml:space="preserve">eine </w:t>
      </w:r>
      <w:r w:rsidRPr="00252459">
        <w:rPr>
          <w:rFonts w:asciiTheme="majorBidi" w:hAnsiTheme="majorBidi" w:cstheme="majorBidi"/>
        </w:rPr>
        <w:t xml:space="preserve">finanzielle Aufstockung seitens der Fakultät </w:t>
      </w:r>
      <w:r w:rsidR="00AC077A" w:rsidRPr="00252459">
        <w:rPr>
          <w:rFonts w:asciiTheme="majorBidi" w:hAnsiTheme="majorBidi" w:cstheme="majorBidi"/>
        </w:rPr>
        <w:t xml:space="preserve">konnte </w:t>
      </w:r>
      <w:r w:rsidR="0019025B" w:rsidRPr="00252459">
        <w:rPr>
          <w:rFonts w:asciiTheme="majorBidi" w:hAnsiTheme="majorBidi" w:cstheme="majorBidi"/>
        </w:rPr>
        <w:t xml:space="preserve">eine </w:t>
      </w:r>
      <w:r w:rsidRPr="00252459">
        <w:rPr>
          <w:rFonts w:asciiTheme="majorBidi" w:hAnsiTheme="majorBidi" w:cstheme="majorBidi"/>
        </w:rPr>
        <w:t>studentische Mit</w:t>
      </w:r>
      <w:r w:rsidR="00DA09BE" w:rsidRPr="00252459">
        <w:rPr>
          <w:rFonts w:asciiTheme="majorBidi" w:hAnsiTheme="majorBidi" w:cstheme="majorBidi"/>
        </w:rPr>
        <w:softHyphen/>
      </w:r>
      <w:r w:rsidRPr="00252459">
        <w:rPr>
          <w:rFonts w:asciiTheme="majorBidi" w:hAnsiTheme="majorBidi" w:cstheme="majorBidi"/>
        </w:rPr>
        <w:t xml:space="preserve">arbeiter*innenstelle zur Förderung von Erstakademiker*innen für die Zeit vom 15.7.2022 bis 28.2.2023 </w:t>
      </w:r>
      <w:r w:rsidR="00AC077A" w:rsidRPr="00252459">
        <w:rPr>
          <w:rFonts w:asciiTheme="majorBidi" w:hAnsiTheme="majorBidi" w:cstheme="majorBidi"/>
        </w:rPr>
        <w:lastRenderedPageBreak/>
        <w:t>eingerichtet werden.</w:t>
      </w:r>
      <w:r w:rsidRPr="00252459">
        <w:rPr>
          <w:rFonts w:asciiTheme="majorBidi" w:hAnsiTheme="majorBidi" w:cstheme="majorBidi"/>
        </w:rPr>
        <w:t xml:space="preserve"> Ziel der Maßnahme </w:t>
      </w:r>
      <w:r w:rsidR="00AC077A" w:rsidRPr="00252459">
        <w:rPr>
          <w:rFonts w:asciiTheme="majorBidi" w:hAnsiTheme="majorBidi" w:cstheme="majorBidi"/>
        </w:rPr>
        <w:t>war,</w:t>
      </w:r>
      <w:r w:rsidRPr="00252459">
        <w:rPr>
          <w:rFonts w:asciiTheme="majorBidi" w:hAnsiTheme="majorBidi" w:cstheme="majorBidi"/>
        </w:rPr>
        <w:t xml:space="preserve"> Erstakademiker*innen im Studium zur Seite zu stehen und auf eine größere Sichtbarkeit dieser Gruppe in der Theologischen Fakultät hinzuwirken und ggf. Förderungsmöglichkeiten zu implementieren. </w:t>
      </w:r>
      <w:r w:rsidR="00013D15" w:rsidRPr="00252459">
        <w:rPr>
          <w:rFonts w:asciiTheme="majorBidi" w:hAnsiTheme="majorBidi" w:cstheme="majorBidi"/>
        </w:rPr>
        <w:t xml:space="preserve">Das Projekt wurde von den Studierenden insgesamt gut angenommen. Besonders wirkungsvoll war </w:t>
      </w:r>
      <w:r w:rsidR="00810440" w:rsidRPr="00252459">
        <w:rPr>
          <w:rFonts w:asciiTheme="majorBidi" w:hAnsiTheme="majorBidi" w:cstheme="majorBidi"/>
        </w:rPr>
        <w:t>ein</w:t>
      </w:r>
      <w:r w:rsidR="00013D15" w:rsidRPr="00252459">
        <w:rPr>
          <w:rFonts w:asciiTheme="majorBidi" w:hAnsiTheme="majorBidi" w:cstheme="majorBidi"/>
        </w:rPr>
        <w:t xml:space="preserve"> Vortrag i</w:t>
      </w:r>
      <w:r w:rsidR="00810440" w:rsidRPr="00252459">
        <w:rPr>
          <w:rFonts w:asciiTheme="majorBidi" w:hAnsiTheme="majorBidi" w:cstheme="majorBidi"/>
        </w:rPr>
        <w:t>n der Sitzung des</w:t>
      </w:r>
      <w:r w:rsidR="00013D15" w:rsidRPr="00252459">
        <w:rPr>
          <w:rFonts w:asciiTheme="majorBidi" w:hAnsiTheme="majorBidi" w:cstheme="majorBidi"/>
        </w:rPr>
        <w:t xml:space="preserve"> Fakultätsrat</w:t>
      </w:r>
      <w:r w:rsidR="00810440" w:rsidRPr="00252459">
        <w:rPr>
          <w:rFonts w:asciiTheme="majorBidi" w:hAnsiTheme="majorBidi" w:cstheme="majorBidi"/>
        </w:rPr>
        <w:t>s am 25.01.2023</w:t>
      </w:r>
      <w:r w:rsidR="00013D15" w:rsidRPr="00252459">
        <w:rPr>
          <w:rFonts w:asciiTheme="majorBidi" w:hAnsiTheme="majorBidi" w:cstheme="majorBidi"/>
        </w:rPr>
        <w:t>, an den sich Überlegungen zur nachhaltigen Berücksichtigung der Thematik anschlossen</w:t>
      </w:r>
      <w:r w:rsidR="007842B1" w:rsidRPr="00252459">
        <w:rPr>
          <w:rFonts w:asciiTheme="majorBidi" w:hAnsiTheme="majorBidi" w:cstheme="majorBidi"/>
        </w:rPr>
        <w:t xml:space="preserve">. </w:t>
      </w:r>
      <w:r w:rsidR="00AC077A" w:rsidRPr="00252459">
        <w:rPr>
          <w:rFonts w:asciiTheme="majorBidi" w:hAnsiTheme="majorBidi" w:cstheme="majorBidi"/>
        </w:rPr>
        <w:t xml:space="preserve">Eine interne Evaluierung des Projekts ergab, </w:t>
      </w:r>
      <w:r w:rsidR="00013D15" w:rsidRPr="00252459">
        <w:t xml:space="preserve">dass </w:t>
      </w:r>
      <w:r w:rsidR="00810440" w:rsidRPr="00252459">
        <w:t xml:space="preserve">es </w:t>
      </w:r>
      <w:r w:rsidR="007842B1" w:rsidRPr="00252459">
        <w:t xml:space="preserve">insbesondere der </w:t>
      </w:r>
      <w:r w:rsidR="00013D15" w:rsidRPr="00252459">
        <w:t>Vernetzung von Studierenden half und Verständnis für Probleme der Studierenden in den Lehrkörper vermittelte</w:t>
      </w:r>
      <w:r w:rsidR="007842B1" w:rsidRPr="00252459">
        <w:rPr>
          <w:rFonts w:asciiTheme="majorBidi" w:hAnsiTheme="majorBidi" w:cstheme="majorBidi"/>
        </w:rPr>
        <w:t>. Die Gleich</w:t>
      </w:r>
      <w:r w:rsidR="00797A94" w:rsidRPr="00252459">
        <w:rPr>
          <w:rFonts w:asciiTheme="majorBidi" w:hAnsiTheme="majorBidi" w:cstheme="majorBidi"/>
        </w:rPr>
        <w:softHyphen/>
      </w:r>
      <w:r w:rsidR="007842B1" w:rsidRPr="00252459">
        <w:rPr>
          <w:rFonts w:asciiTheme="majorBidi" w:hAnsiTheme="majorBidi" w:cstheme="majorBidi"/>
        </w:rPr>
        <w:t>stellungskommission der Fakultät wird die Möglichkeiten zur Beseitigung von Nachteilen für Studierende und Promovierende aus der Gruppe der Erstakademiker*innen weiter be</w:t>
      </w:r>
      <w:r w:rsidR="00386E71" w:rsidRPr="00252459">
        <w:rPr>
          <w:rFonts w:asciiTheme="majorBidi" w:hAnsiTheme="majorBidi" w:cstheme="majorBidi"/>
        </w:rPr>
        <w:t>denken</w:t>
      </w:r>
      <w:r w:rsidR="007842B1" w:rsidRPr="00252459">
        <w:rPr>
          <w:rFonts w:asciiTheme="majorBidi" w:hAnsiTheme="majorBidi" w:cstheme="majorBidi"/>
        </w:rPr>
        <w:t>.</w:t>
      </w:r>
    </w:p>
    <w:p w14:paraId="390E09C7" w14:textId="77777777" w:rsidR="009A06D3" w:rsidRPr="00252459" w:rsidRDefault="009A06D3" w:rsidP="009A06D3">
      <w:pPr>
        <w:pStyle w:val="berschrift1"/>
        <w:numPr>
          <w:ilvl w:val="0"/>
          <w:numId w:val="0"/>
        </w:numPr>
        <w:spacing w:before="0"/>
        <w:jc w:val="both"/>
        <w:rPr>
          <w:rFonts w:asciiTheme="majorBidi" w:hAnsiTheme="majorBidi"/>
          <w:sz w:val="22"/>
          <w:szCs w:val="22"/>
        </w:rPr>
      </w:pPr>
    </w:p>
    <w:p w14:paraId="5CEC33E9" w14:textId="2A197B19" w:rsidR="00AC70F1" w:rsidRPr="00252459" w:rsidRDefault="009A06D3" w:rsidP="009A06D3">
      <w:pPr>
        <w:pStyle w:val="berschrift1"/>
        <w:numPr>
          <w:ilvl w:val="0"/>
          <w:numId w:val="0"/>
        </w:numPr>
        <w:spacing w:before="0"/>
        <w:jc w:val="both"/>
        <w:rPr>
          <w:rFonts w:asciiTheme="majorBidi" w:hAnsiTheme="majorBidi"/>
          <w:b w:val="0"/>
          <w:bCs w:val="0"/>
        </w:rPr>
      </w:pPr>
      <w:r w:rsidRPr="00252459">
        <w:rPr>
          <w:rFonts w:asciiTheme="majorBidi" w:hAnsiTheme="majorBidi"/>
          <w:sz w:val="22"/>
          <w:szCs w:val="22"/>
        </w:rPr>
        <w:t>2.</w:t>
      </w:r>
      <w:r w:rsidR="00AC70F1" w:rsidRPr="00252459">
        <w:rPr>
          <w:rFonts w:asciiTheme="majorBidi" w:hAnsiTheme="majorBidi"/>
        </w:rPr>
        <w:t>6 Personen mit Migrationsgeschichte</w:t>
      </w:r>
    </w:p>
    <w:p w14:paraId="6C905359" w14:textId="471AE741" w:rsidR="00AC70F1" w:rsidRPr="00252459" w:rsidRDefault="00AC70F1" w:rsidP="00FF34EA">
      <w:pPr>
        <w:spacing w:line="276" w:lineRule="auto"/>
        <w:jc w:val="both"/>
        <w:rPr>
          <w:rFonts w:asciiTheme="majorBidi" w:hAnsiTheme="majorBidi" w:cstheme="majorBidi"/>
        </w:rPr>
      </w:pPr>
      <w:r w:rsidRPr="00252459">
        <w:rPr>
          <w:rFonts w:asciiTheme="majorBidi" w:hAnsiTheme="majorBidi" w:cstheme="majorBidi"/>
        </w:rPr>
        <w:t>Die Fakultät bemüht sich, Studierende und andere Mitglieder mit Migrationsgeschichte sowie Personen nicht-deutscher Erstsprache zu unterstützen, möglichen Benachteiligungen entgegenzuwirken und die Bedeutung der Vielfalt an Erfahrungen für das Leben der Fakultät, die Theologie und Religions</w:t>
      </w:r>
      <w:r w:rsidRPr="00252459">
        <w:rPr>
          <w:rFonts w:asciiTheme="majorBidi" w:hAnsiTheme="majorBidi" w:cstheme="majorBidi"/>
        </w:rPr>
        <w:softHyphen/>
        <w:t xml:space="preserve">geschichte zu würdigen. </w:t>
      </w:r>
    </w:p>
    <w:p w14:paraId="77DA7823" w14:textId="406EF58C" w:rsidR="00AC70F1" w:rsidRPr="00252459" w:rsidRDefault="00AC70F1" w:rsidP="00322927">
      <w:pPr>
        <w:spacing w:line="276" w:lineRule="auto"/>
        <w:jc w:val="both"/>
        <w:rPr>
          <w:rFonts w:asciiTheme="majorBidi" w:hAnsiTheme="majorBidi" w:cstheme="majorBidi"/>
        </w:rPr>
      </w:pPr>
      <w:r w:rsidRPr="00252459">
        <w:rPr>
          <w:rFonts w:asciiTheme="majorBidi" w:hAnsiTheme="majorBidi" w:cstheme="majorBidi"/>
        </w:rPr>
        <w:t xml:space="preserve">Die Fakultät </w:t>
      </w:r>
      <w:r w:rsidR="000200E7" w:rsidRPr="00252459">
        <w:rPr>
          <w:rFonts w:asciiTheme="majorBidi" w:hAnsiTheme="majorBidi" w:cstheme="majorBidi"/>
        </w:rPr>
        <w:t>plant</w:t>
      </w:r>
      <w:r w:rsidR="00266BB9" w:rsidRPr="00252459">
        <w:rPr>
          <w:rFonts w:asciiTheme="majorBidi" w:hAnsiTheme="majorBidi" w:cstheme="majorBidi"/>
        </w:rPr>
        <w:t>,</w:t>
      </w:r>
      <w:r w:rsidR="000200E7" w:rsidRPr="00252459">
        <w:rPr>
          <w:rFonts w:asciiTheme="majorBidi" w:hAnsiTheme="majorBidi" w:cstheme="majorBidi"/>
        </w:rPr>
        <w:t xml:space="preserve"> </w:t>
      </w:r>
      <w:r w:rsidRPr="00252459">
        <w:rPr>
          <w:rFonts w:asciiTheme="majorBidi" w:hAnsiTheme="majorBidi" w:cstheme="majorBidi"/>
        </w:rPr>
        <w:t xml:space="preserve">vermehrt englischsprachige und bilinguale </w:t>
      </w:r>
      <w:r w:rsidR="00322927" w:rsidRPr="00252459">
        <w:rPr>
          <w:rFonts w:asciiTheme="majorBidi" w:hAnsiTheme="majorBidi" w:cstheme="majorBidi"/>
        </w:rPr>
        <w:t>Lehrveranstaltungen</w:t>
      </w:r>
      <w:r w:rsidRPr="00252459">
        <w:rPr>
          <w:rFonts w:asciiTheme="majorBidi" w:hAnsiTheme="majorBidi" w:cstheme="majorBidi"/>
        </w:rPr>
        <w:t xml:space="preserve"> für internationale Studierende </w:t>
      </w:r>
      <w:r w:rsidR="000200E7" w:rsidRPr="00252459">
        <w:rPr>
          <w:rFonts w:asciiTheme="majorBidi" w:hAnsiTheme="majorBidi" w:cstheme="majorBidi"/>
        </w:rPr>
        <w:t>anzubieten.</w:t>
      </w:r>
    </w:p>
    <w:p w14:paraId="133FCBD5" w14:textId="1A32B096" w:rsidR="00AC70F1" w:rsidRPr="00252459" w:rsidRDefault="00AC70F1" w:rsidP="00AC70F1">
      <w:pPr>
        <w:spacing w:line="276" w:lineRule="auto"/>
        <w:jc w:val="both"/>
        <w:rPr>
          <w:rFonts w:asciiTheme="majorBidi" w:hAnsiTheme="majorBidi" w:cstheme="majorBidi"/>
        </w:rPr>
      </w:pPr>
    </w:p>
    <w:p w14:paraId="25AD31E7" w14:textId="77777777" w:rsidR="007B5049" w:rsidRPr="00252459" w:rsidRDefault="007B5049" w:rsidP="00AC70F1">
      <w:pPr>
        <w:spacing w:line="276" w:lineRule="auto"/>
        <w:jc w:val="both"/>
        <w:rPr>
          <w:rFonts w:asciiTheme="majorBidi" w:hAnsiTheme="majorBidi" w:cstheme="majorBidi"/>
        </w:rPr>
      </w:pPr>
    </w:p>
    <w:p w14:paraId="4CB8E602" w14:textId="77777777" w:rsidR="00285D98" w:rsidRPr="00252459" w:rsidRDefault="00285D98">
      <w:pPr>
        <w:widowControl/>
        <w:autoSpaceDE/>
        <w:autoSpaceDN/>
        <w:spacing w:after="160" w:line="259" w:lineRule="auto"/>
        <w:rPr>
          <w:rFonts w:asciiTheme="majorBidi" w:eastAsiaTheme="majorEastAsia" w:hAnsiTheme="majorBidi" w:cstheme="majorBidi"/>
          <w:b/>
          <w:bCs/>
        </w:rPr>
      </w:pPr>
      <w:r w:rsidRPr="00252459">
        <w:rPr>
          <w:rFonts w:asciiTheme="majorBidi" w:hAnsiTheme="majorBidi"/>
        </w:rPr>
        <w:br w:type="page"/>
      </w:r>
    </w:p>
    <w:p w14:paraId="117B5A43" w14:textId="66A7C18B" w:rsidR="00AC70F1" w:rsidRPr="00252459" w:rsidRDefault="00AC70F1" w:rsidP="00950F9F">
      <w:pPr>
        <w:pStyle w:val="berschrift1"/>
        <w:numPr>
          <w:ilvl w:val="0"/>
          <w:numId w:val="0"/>
        </w:numPr>
        <w:spacing w:before="0"/>
        <w:rPr>
          <w:rFonts w:asciiTheme="majorBidi" w:hAnsiTheme="majorBidi"/>
          <w:szCs w:val="24"/>
        </w:rPr>
      </w:pPr>
      <w:r w:rsidRPr="00252459">
        <w:rPr>
          <w:rFonts w:asciiTheme="majorBidi" w:hAnsiTheme="majorBidi"/>
          <w:sz w:val="22"/>
          <w:szCs w:val="22"/>
        </w:rPr>
        <w:lastRenderedPageBreak/>
        <w:t xml:space="preserve">3. </w:t>
      </w:r>
      <w:r w:rsidRPr="00252459">
        <w:rPr>
          <w:rFonts w:asciiTheme="majorBidi" w:hAnsiTheme="majorBidi"/>
          <w:szCs w:val="24"/>
        </w:rPr>
        <w:t>Zahlen</w:t>
      </w:r>
    </w:p>
    <w:p w14:paraId="1F392D76" w14:textId="77777777" w:rsidR="007B3402" w:rsidRPr="00252459" w:rsidRDefault="007B3402" w:rsidP="007B3402"/>
    <w:p w14:paraId="24159146" w14:textId="097FF629" w:rsidR="009A06D3" w:rsidRPr="00252459" w:rsidRDefault="009A06D3" w:rsidP="009A06D3">
      <w:pPr>
        <w:pStyle w:val="berschrift2"/>
        <w:ind w:left="0"/>
      </w:pPr>
      <w:r w:rsidRPr="00252459">
        <w:t>3.1 Studierende</w:t>
      </w:r>
    </w:p>
    <w:p w14:paraId="6CB4A0A5" w14:textId="17999AE0" w:rsidR="00AC70F1" w:rsidRPr="00252459" w:rsidRDefault="007F1E4A" w:rsidP="00950F9F">
      <w:pPr>
        <w:spacing w:line="276" w:lineRule="auto"/>
        <w:jc w:val="both"/>
        <w:rPr>
          <w:i/>
          <w:iCs/>
        </w:rPr>
      </w:pPr>
      <w:r w:rsidRPr="00252459">
        <w:t xml:space="preserve">Abweichend vom Gleichstellungskonzept 2020 wurden als Datengrundlage die zentralen Daten </w:t>
      </w:r>
      <w:r w:rsidR="00053C31" w:rsidRPr="00252459">
        <w:t>aus dem Referat Akademisches Berichtswesen der Humboldt-Universität zu Berlin verwendet, um eine Vergleichbarkeit zwischen den verschiedenen Zeiträumen zu gewährleisten.</w:t>
      </w:r>
      <w:r w:rsidR="004359A2" w:rsidRPr="00252459">
        <w:t xml:space="preserve"> </w:t>
      </w:r>
      <w:r w:rsidR="004359A2" w:rsidRPr="00252459">
        <w:rPr>
          <w:i/>
          <w:iCs/>
        </w:rPr>
        <w:t xml:space="preserve">Diese Daten beruhen statt auf Studienfällen auf Personen, die der Fakultät zugeordnet werden. </w:t>
      </w:r>
    </w:p>
    <w:p w14:paraId="16A807A3" w14:textId="5476718B" w:rsidR="00053C31" w:rsidRPr="00252459" w:rsidRDefault="00053C31" w:rsidP="00950F9F">
      <w:pPr>
        <w:spacing w:line="276" w:lineRule="auto"/>
        <w:jc w:val="both"/>
      </w:pPr>
      <w:r w:rsidRPr="00252459">
        <w:t>Inzwischen liegen die Daten</w:t>
      </w:r>
      <w:r w:rsidR="004359A2" w:rsidRPr="00252459">
        <w:t xml:space="preserve"> für die Berichtszeiträume 2020/21 und 2021/22</w:t>
      </w:r>
      <w:r w:rsidRPr="00252459">
        <w:t xml:space="preserve"> vor, die für das </w:t>
      </w:r>
      <w:r w:rsidR="004359A2" w:rsidRPr="00252459">
        <w:t xml:space="preserve">letzte </w:t>
      </w:r>
      <w:r w:rsidRPr="00252459">
        <w:t xml:space="preserve">Gleichstellungskonzept </w:t>
      </w:r>
      <w:r w:rsidR="004359A2" w:rsidRPr="00252459">
        <w:t>nicht verfügbar waren</w:t>
      </w:r>
      <w:r w:rsidRPr="00252459">
        <w:t xml:space="preserve">. </w:t>
      </w:r>
    </w:p>
    <w:p w14:paraId="33274675" w14:textId="2231A0E0" w:rsidR="00F62979" w:rsidRPr="00252459" w:rsidRDefault="00053C31" w:rsidP="00950F9F">
      <w:pPr>
        <w:spacing w:line="276" w:lineRule="auto"/>
        <w:jc w:val="both"/>
      </w:pPr>
      <w:r w:rsidRPr="00252459">
        <w:t xml:space="preserve">Zur besseren Vergleichbarkeit mit dem Gleichstellungskonzept 2020, das fakultätsinterne Daten </w:t>
      </w:r>
      <w:r w:rsidR="004359A2" w:rsidRPr="00252459">
        <w:t xml:space="preserve">nach Studienfällen </w:t>
      </w:r>
      <w:r w:rsidRPr="00252459">
        <w:t xml:space="preserve">enthielt, die </w:t>
      </w:r>
      <w:r w:rsidR="004359A2" w:rsidRPr="00252459">
        <w:t xml:space="preserve">in ihrer Zählung </w:t>
      </w:r>
      <w:r w:rsidRPr="00252459">
        <w:t>von den zentralen Daten abweichen, sind</w:t>
      </w:r>
      <w:r w:rsidR="004359A2" w:rsidRPr="00252459">
        <w:t xml:space="preserve"> die zentralen</w:t>
      </w:r>
      <w:r w:rsidRPr="00252459">
        <w:t xml:space="preserve"> Daten aus dem </w:t>
      </w:r>
      <w:r w:rsidR="00435184" w:rsidRPr="00252459">
        <w:t xml:space="preserve">letzten </w:t>
      </w:r>
      <w:r w:rsidRPr="00252459">
        <w:t xml:space="preserve">dort dargestellten Zeitraum </w:t>
      </w:r>
      <w:r w:rsidR="00435184" w:rsidRPr="00252459">
        <w:t xml:space="preserve">2019/20 </w:t>
      </w:r>
      <w:r w:rsidRPr="00252459">
        <w:t>hier</w:t>
      </w:r>
      <w:r w:rsidR="004359A2" w:rsidRPr="00252459">
        <w:t xml:space="preserve"> zusätzlich</w:t>
      </w:r>
      <w:r w:rsidRPr="00252459">
        <w:t xml:space="preserve"> aufgeführt. </w:t>
      </w:r>
    </w:p>
    <w:p w14:paraId="5CD1F32A" w14:textId="77777777" w:rsidR="00F62979" w:rsidRPr="00252459" w:rsidRDefault="00F62979" w:rsidP="00AC70F1"/>
    <w:p w14:paraId="72888F05" w14:textId="4EAE2A87" w:rsidR="00A51F71" w:rsidRPr="00252459" w:rsidRDefault="00A51F71" w:rsidP="00A51F71">
      <w:pPr>
        <w:pStyle w:val="Beschriftung"/>
        <w:keepNext/>
        <w:rPr>
          <w:sz w:val="22"/>
          <w:szCs w:val="22"/>
        </w:rPr>
      </w:pPr>
      <w:bookmarkStart w:id="2" w:name="_Ref170143779"/>
      <w:r w:rsidRPr="00252459">
        <w:rPr>
          <w:sz w:val="22"/>
          <w:szCs w:val="22"/>
        </w:rPr>
        <w:t xml:space="preserve">Tabelle </w:t>
      </w:r>
      <w:r w:rsidRPr="00252459">
        <w:rPr>
          <w:sz w:val="22"/>
          <w:szCs w:val="22"/>
        </w:rPr>
        <w:fldChar w:fldCharType="begin"/>
      </w:r>
      <w:r w:rsidRPr="00252459">
        <w:rPr>
          <w:sz w:val="22"/>
          <w:szCs w:val="22"/>
        </w:rPr>
        <w:instrText xml:space="preserve"> SEQ Tabelle \* ARABIC </w:instrText>
      </w:r>
      <w:r w:rsidRPr="00252459">
        <w:rPr>
          <w:sz w:val="22"/>
          <w:szCs w:val="22"/>
        </w:rPr>
        <w:fldChar w:fldCharType="separate"/>
      </w:r>
      <w:r w:rsidR="009A06D3" w:rsidRPr="00252459">
        <w:rPr>
          <w:noProof/>
          <w:sz w:val="22"/>
          <w:szCs w:val="22"/>
        </w:rPr>
        <w:t>1</w:t>
      </w:r>
      <w:r w:rsidRPr="00252459">
        <w:rPr>
          <w:noProof/>
          <w:sz w:val="22"/>
          <w:szCs w:val="22"/>
        </w:rPr>
        <w:fldChar w:fldCharType="end"/>
      </w:r>
      <w:bookmarkEnd w:id="2"/>
      <w:r w:rsidRPr="00252459">
        <w:rPr>
          <w:sz w:val="22"/>
          <w:szCs w:val="22"/>
        </w:rPr>
        <w:t>: Statistik zu den Anteilen der als weiblich gelesenen Studierenden an der Faku</w:t>
      </w:r>
      <w:r w:rsidR="008C6ED1" w:rsidRPr="00252459">
        <w:rPr>
          <w:sz w:val="22"/>
          <w:szCs w:val="22"/>
        </w:rPr>
        <w:t>ltät für verschiedene Zeiträume</w:t>
      </w:r>
      <w:r w:rsidR="009A06D3" w:rsidRPr="00252459">
        <w:rPr>
          <w:sz w:val="22"/>
          <w:szCs w:val="22"/>
        </w:rPr>
        <w:t>.</w:t>
      </w:r>
      <w:r w:rsidRPr="00252459">
        <w:rPr>
          <w:sz w:val="22"/>
          <w:szCs w:val="22"/>
        </w:rPr>
        <w:t xml:space="preserve"> </w:t>
      </w:r>
    </w:p>
    <w:tbl>
      <w:tblPr>
        <w:tblStyle w:val="Tabellenraster"/>
        <w:tblW w:w="9923" w:type="dxa"/>
        <w:tblInd w:w="-572" w:type="dxa"/>
        <w:tblLayout w:type="fixed"/>
        <w:tblLook w:val="04A0" w:firstRow="1" w:lastRow="0" w:firstColumn="1" w:lastColumn="0" w:noHBand="0" w:noVBand="1"/>
      </w:tblPr>
      <w:tblGrid>
        <w:gridCol w:w="1418"/>
        <w:gridCol w:w="709"/>
        <w:gridCol w:w="992"/>
        <w:gridCol w:w="709"/>
        <w:gridCol w:w="992"/>
        <w:gridCol w:w="709"/>
        <w:gridCol w:w="992"/>
        <w:gridCol w:w="709"/>
        <w:gridCol w:w="992"/>
        <w:gridCol w:w="709"/>
        <w:gridCol w:w="992"/>
      </w:tblGrid>
      <w:tr w:rsidR="00455A1F" w:rsidRPr="00252459" w14:paraId="18F9231E" w14:textId="0AA0C3A2" w:rsidTr="00C4623E">
        <w:tc>
          <w:tcPr>
            <w:tcW w:w="1418" w:type="dxa"/>
            <w:vMerge w:val="restart"/>
          </w:tcPr>
          <w:p w14:paraId="208B42DF" w14:textId="77777777" w:rsidR="00455A1F" w:rsidRPr="00252459" w:rsidRDefault="00455A1F" w:rsidP="00D870BB"/>
        </w:tc>
        <w:tc>
          <w:tcPr>
            <w:tcW w:w="1701" w:type="dxa"/>
            <w:gridSpan w:val="2"/>
          </w:tcPr>
          <w:p w14:paraId="19912C0C" w14:textId="34E0703A" w:rsidR="00455A1F" w:rsidRPr="00252459" w:rsidRDefault="00455A1F" w:rsidP="00114C29">
            <w:pPr>
              <w:jc w:val="center"/>
            </w:pPr>
            <w:r w:rsidRPr="00252459">
              <w:t>2019/20</w:t>
            </w:r>
          </w:p>
        </w:tc>
        <w:tc>
          <w:tcPr>
            <w:tcW w:w="1701" w:type="dxa"/>
            <w:gridSpan w:val="2"/>
          </w:tcPr>
          <w:p w14:paraId="186DFC86" w14:textId="77E3D070" w:rsidR="00455A1F" w:rsidRPr="00252459" w:rsidRDefault="00455A1F" w:rsidP="00114C29">
            <w:pPr>
              <w:jc w:val="center"/>
            </w:pPr>
            <w:r w:rsidRPr="00252459">
              <w:t>2020/21</w:t>
            </w:r>
          </w:p>
        </w:tc>
        <w:tc>
          <w:tcPr>
            <w:tcW w:w="1701" w:type="dxa"/>
            <w:gridSpan w:val="2"/>
          </w:tcPr>
          <w:p w14:paraId="71538353" w14:textId="25B33EB7" w:rsidR="00455A1F" w:rsidRPr="00252459" w:rsidRDefault="00455A1F" w:rsidP="00114C29">
            <w:pPr>
              <w:jc w:val="center"/>
            </w:pPr>
            <w:r w:rsidRPr="00252459">
              <w:t>2021/22</w:t>
            </w:r>
          </w:p>
        </w:tc>
        <w:tc>
          <w:tcPr>
            <w:tcW w:w="1701" w:type="dxa"/>
            <w:gridSpan w:val="2"/>
          </w:tcPr>
          <w:p w14:paraId="430DC285" w14:textId="39913CAF" w:rsidR="00455A1F" w:rsidRPr="00252459" w:rsidRDefault="00455A1F" w:rsidP="00114C29">
            <w:pPr>
              <w:jc w:val="center"/>
            </w:pPr>
            <w:r w:rsidRPr="00252459">
              <w:t>2022/23</w:t>
            </w:r>
          </w:p>
        </w:tc>
        <w:tc>
          <w:tcPr>
            <w:tcW w:w="1701" w:type="dxa"/>
            <w:gridSpan w:val="2"/>
          </w:tcPr>
          <w:p w14:paraId="547DCA49" w14:textId="1E0342B6" w:rsidR="00455A1F" w:rsidRPr="00252459" w:rsidRDefault="00455A1F" w:rsidP="00114C29">
            <w:pPr>
              <w:jc w:val="center"/>
            </w:pPr>
            <w:r w:rsidRPr="00252459">
              <w:t>2023/24</w:t>
            </w:r>
            <w:r w:rsidR="00C4623E" w:rsidRPr="00252459">
              <w:rPr>
                <w:rStyle w:val="Funotenzeichen"/>
              </w:rPr>
              <w:footnoteReference w:id="3"/>
            </w:r>
          </w:p>
        </w:tc>
      </w:tr>
      <w:tr w:rsidR="00455A1F" w:rsidRPr="00252459" w14:paraId="0CF14F09" w14:textId="78C62CD8" w:rsidTr="00C4623E">
        <w:tc>
          <w:tcPr>
            <w:tcW w:w="1418" w:type="dxa"/>
            <w:vMerge/>
          </w:tcPr>
          <w:p w14:paraId="4D06AB5D" w14:textId="77777777" w:rsidR="00455A1F" w:rsidRPr="00252459" w:rsidRDefault="00455A1F" w:rsidP="00D870BB"/>
        </w:tc>
        <w:tc>
          <w:tcPr>
            <w:tcW w:w="709" w:type="dxa"/>
          </w:tcPr>
          <w:p w14:paraId="13E8FB36" w14:textId="0F7DB350" w:rsidR="00455A1F" w:rsidRPr="00252459" w:rsidRDefault="00455A1F" w:rsidP="00D870BB">
            <w:r w:rsidRPr="00252459">
              <w:t>Ges.</w:t>
            </w:r>
          </w:p>
        </w:tc>
        <w:tc>
          <w:tcPr>
            <w:tcW w:w="992" w:type="dxa"/>
          </w:tcPr>
          <w:p w14:paraId="6BF9F3B9" w14:textId="1AB7459E" w:rsidR="00455A1F" w:rsidRPr="00252459" w:rsidRDefault="00455A1F" w:rsidP="00114C29">
            <w:pPr>
              <w:jc w:val="center"/>
            </w:pPr>
            <w:r w:rsidRPr="00252459">
              <w:t>w* (%)</w:t>
            </w:r>
          </w:p>
        </w:tc>
        <w:tc>
          <w:tcPr>
            <w:tcW w:w="709" w:type="dxa"/>
          </w:tcPr>
          <w:p w14:paraId="6F07E761" w14:textId="59CD9E53" w:rsidR="00455A1F" w:rsidRPr="00252459" w:rsidRDefault="00455A1F" w:rsidP="00114C29">
            <w:pPr>
              <w:jc w:val="center"/>
            </w:pPr>
            <w:r w:rsidRPr="00252459">
              <w:t>Ges.</w:t>
            </w:r>
          </w:p>
        </w:tc>
        <w:tc>
          <w:tcPr>
            <w:tcW w:w="992" w:type="dxa"/>
          </w:tcPr>
          <w:p w14:paraId="1D447917" w14:textId="51A3F463" w:rsidR="00455A1F" w:rsidRPr="00252459" w:rsidRDefault="00455A1F" w:rsidP="00114C29">
            <w:pPr>
              <w:jc w:val="center"/>
            </w:pPr>
            <w:r w:rsidRPr="00252459">
              <w:t>w* (%)</w:t>
            </w:r>
          </w:p>
        </w:tc>
        <w:tc>
          <w:tcPr>
            <w:tcW w:w="709" w:type="dxa"/>
          </w:tcPr>
          <w:p w14:paraId="66E61CC7" w14:textId="547B56C4" w:rsidR="00455A1F" w:rsidRPr="00252459" w:rsidRDefault="00455A1F" w:rsidP="00114C29">
            <w:pPr>
              <w:jc w:val="center"/>
            </w:pPr>
            <w:r w:rsidRPr="00252459">
              <w:t>Ges.</w:t>
            </w:r>
          </w:p>
        </w:tc>
        <w:tc>
          <w:tcPr>
            <w:tcW w:w="992" w:type="dxa"/>
          </w:tcPr>
          <w:p w14:paraId="24EAEBB1" w14:textId="514F7434" w:rsidR="00455A1F" w:rsidRPr="00252459" w:rsidRDefault="00455A1F" w:rsidP="00114C29">
            <w:pPr>
              <w:jc w:val="center"/>
            </w:pPr>
            <w:r w:rsidRPr="00252459">
              <w:t>w* (%)</w:t>
            </w:r>
          </w:p>
        </w:tc>
        <w:tc>
          <w:tcPr>
            <w:tcW w:w="709" w:type="dxa"/>
          </w:tcPr>
          <w:p w14:paraId="0697B42A" w14:textId="5C0CC1DA" w:rsidR="00455A1F" w:rsidRPr="00252459" w:rsidRDefault="00455A1F" w:rsidP="00114C29">
            <w:pPr>
              <w:jc w:val="center"/>
            </w:pPr>
            <w:r w:rsidRPr="00252459">
              <w:t>Ges.</w:t>
            </w:r>
          </w:p>
        </w:tc>
        <w:tc>
          <w:tcPr>
            <w:tcW w:w="992" w:type="dxa"/>
          </w:tcPr>
          <w:p w14:paraId="60E93C3C" w14:textId="10E30499" w:rsidR="00455A1F" w:rsidRPr="00252459" w:rsidRDefault="00455A1F" w:rsidP="00114C29">
            <w:pPr>
              <w:jc w:val="center"/>
            </w:pPr>
            <w:r w:rsidRPr="00252459">
              <w:t>w* (%)</w:t>
            </w:r>
          </w:p>
        </w:tc>
        <w:tc>
          <w:tcPr>
            <w:tcW w:w="709" w:type="dxa"/>
          </w:tcPr>
          <w:p w14:paraId="6360A044" w14:textId="535E5A91" w:rsidR="00455A1F" w:rsidRPr="00252459" w:rsidRDefault="00455A1F" w:rsidP="00114C29">
            <w:pPr>
              <w:jc w:val="center"/>
            </w:pPr>
            <w:r w:rsidRPr="00252459">
              <w:t>Ges.</w:t>
            </w:r>
          </w:p>
        </w:tc>
        <w:tc>
          <w:tcPr>
            <w:tcW w:w="992" w:type="dxa"/>
          </w:tcPr>
          <w:p w14:paraId="65B34637" w14:textId="4262C473" w:rsidR="00455A1F" w:rsidRPr="00252459" w:rsidRDefault="00455A1F" w:rsidP="00114C29">
            <w:pPr>
              <w:jc w:val="center"/>
            </w:pPr>
            <w:r w:rsidRPr="00252459">
              <w:t>w* (%)</w:t>
            </w:r>
          </w:p>
        </w:tc>
      </w:tr>
      <w:tr w:rsidR="00455A1F" w:rsidRPr="00252459" w14:paraId="7CEC7215" w14:textId="29998D9D" w:rsidTr="00C4623E">
        <w:tc>
          <w:tcPr>
            <w:tcW w:w="1418" w:type="dxa"/>
          </w:tcPr>
          <w:p w14:paraId="28C4EACD" w14:textId="5F7995E9" w:rsidR="00455A1F" w:rsidRPr="00252459" w:rsidRDefault="00455A1F" w:rsidP="00D870BB">
            <w:r w:rsidRPr="00252459">
              <w:rPr>
                <w:lang w:eastAsia="de-DE"/>
              </w:rPr>
              <w:t>Studierende</w:t>
            </w:r>
          </w:p>
        </w:tc>
        <w:tc>
          <w:tcPr>
            <w:tcW w:w="709" w:type="dxa"/>
          </w:tcPr>
          <w:p w14:paraId="6B830AC9" w14:textId="58ED1902" w:rsidR="00455A1F" w:rsidRPr="00252459" w:rsidRDefault="00455A1F" w:rsidP="00C4623E">
            <w:pPr>
              <w:jc w:val="center"/>
            </w:pPr>
            <w:r w:rsidRPr="00252459">
              <w:t>696</w:t>
            </w:r>
          </w:p>
        </w:tc>
        <w:tc>
          <w:tcPr>
            <w:tcW w:w="992" w:type="dxa"/>
          </w:tcPr>
          <w:p w14:paraId="25707717" w14:textId="4DF43591" w:rsidR="00455A1F" w:rsidRPr="00252459" w:rsidRDefault="00455A1F" w:rsidP="00C4623E">
            <w:pPr>
              <w:jc w:val="center"/>
            </w:pPr>
            <w:r w:rsidRPr="00252459">
              <w:t>425 (61,1)</w:t>
            </w:r>
          </w:p>
        </w:tc>
        <w:tc>
          <w:tcPr>
            <w:tcW w:w="709" w:type="dxa"/>
          </w:tcPr>
          <w:p w14:paraId="19A0EBD6" w14:textId="6F89FEB3" w:rsidR="00455A1F" w:rsidRPr="00252459" w:rsidRDefault="00455A1F" w:rsidP="00C4623E">
            <w:pPr>
              <w:jc w:val="center"/>
            </w:pPr>
            <w:r w:rsidRPr="00252459">
              <w:t>629</w:t>
            </w:r>
          </w:p>
        </w:tc>
        <w:tc>
          <w:tcPr>
            <w:tcW w:w="992" w:type="dxa"/>
          </w:tcPr>
          <w:p w14:paraId="3C203107" w14:textId="48FF7E43" w:rsidR="00455A1F" w:rsidRPr="00252459" w:rsidRDefault="00455A1F" w:rsidP="00C4623E">
            <w:pPr>
              <w:jc w:val="center"/>
            </w:pPr>
            <w:r w:rsidRPr="00252459">
              <w:t>380 (60,4)</w:t>
            </w:r>
          </w:p>
        </w:tc>
        <w:tc>
          <w:tcPr>
            <w:tcW w:w="709" w:type="dxa"/>
          </w:tcPr>
          <w:p w14:paraId="6332BC9A" w14:textId="2129E8D4" w:rsidR="00455A1F" w:rsidRPr="00252459" w:rsidRDefault="00455A1F" w:rsidP="00C4623E">
            <w:pPr>
              <w:jc w:val="center"/>
            </w:pPr>
            <w:r w:rsidRPr="00252459">
              <w:t>545</w:t>
            </w:r>
          </w:p>
        </w:tc>
        <w:tc>
          <w:tcPr>
            <w:tcW w:w="992" w:type="dxa"/>
          </w:tcPr>
          <w:p w14:paraId="6695852B" w14:textId="5A32732E" w:rsidR="00455A1F" w:rsidRPr="00252459" w:rsidRDefault="00455A1F" w:rsidP="00C4623E">
            <w:pPr>
              <w:jc w:val="center"/>
            </w:pPr>
            <w:r w:rsidRPr="00252459">
              <w:t>348 (63,9)</w:t>
            </w:r>
          </w:p>
        </w:tc>
        <w:tc>
          <w:tcPr>
            <w:tcW w:w="709" w:type="dxa"/>
          </w:tcPr>
          <w:p w14:paraId="39343575" w14:textId="5E94F157" w:rsidR="00455A1F" w:rsidRPr="00252459" w:rsidRDefault="00455A1F" w:rsidP="00C4623E">
            <w:pPr>
              <w:jc w:val="center"/>
            </w:pPr>
            <w:r w:rsidRPr="00252459">
              <w:t>453</w:t>
            </w:r>
          </w:p>
        </w:tc>
        <w:tc>
          <w:tcPr>
            <w:tcW w:w="992" w:type="dxa"/>
          </w:tcPr>
          <w:p w14:paraId="3EA3B349" w14:textId="115700A1" w:rsidR="00455A1F" w:rsidRPr="00252459" w:rsidRDefault="00455A1F" w:rsidP="00C4623E">
            <w:pPr>
              <w:jc w:val="center"/>
            </w:pPr>
            <w:r w:rsidRPr="00252459">
              <w:t>286 (63,1)</w:t>
            </w:r>
          </w:p>
        </w:tc>
        <w:tc>
          <w:tcPr>
            <w:tcW w:w="709" w:type="dxa"/>
          </w:tcPr>
          <w:p w14:paraId="1122BE55" w14:textId="6EB8B279" w:rsidR="00455A1F" w:rsidRPr="00252459" w:rsidRDefault="00455A1F" w:rsidP="00C4623E">
            <w:pPr>
              <w:jc w:val="center"/>
            </w:pPr>
            <w:r w:rsidRPr="00252459">
              <w:t>395</w:t>
            </w:r>
          </w:p>
        </w:tc>
        <w:tc>
          <w:tcPr>
            <w:tcW w:w="992" w:type="dxa"/>
          </w:tcPr>
          <w:p w14:paraId="02DA8D84" w14:textId="216DF480" w:rsidR="00455A1F" w:rsidRPr="00252459" w:rsidRDefault="00455A1F" w:rsidP="00C4623E">
            <w:pPr>
              <w:jc w:val="center"/>
            </w:pPr>
            <w:r w:rsidRPr="00252459">
              <w:t>239 (60,5)</w:t>
            </w:r>
          </w:p>
        </w:tc>
      </w:tr>
      <w:tr w:rsidR="00455A1F" w:rsidRPr="00252459" w14:paraId="1C91C5CA" w14:textId="1573AD63" w:rsidTr="00C4623E">
        <w:tc>
          <w:tcPr>
            <w:tcW w:w="1418" w:type="dxa"/>
          </w:tcPr>
          <w:p w14:paraId="15E17A1B" w14:textId="34B02BEB" w:rsidR="00455A1F" w:rsidRPr="00252459" w:rsidRDefault="00455A1F" w:rsidP="00D870BB">
            <w:r w:rsidRPr="00252459">
              <w:rPr>
                <w:lang w:eastAsia="de-DE"/>
              </w:rPr>
              <w:t>Neuzugänge</w:t>
            </w:r>
          </w:p>
        </w:tc>
        <w:tc>
          <w:tcPr>
            <w:tcW w:w="709" w:type="dxa"/>
          </w:tcPr>
          <w:p w14:paraId="7D9EA509" w14:textId="553BD597" w:rsidR="00455A1F" w:rsidRPr="00252459" w:rsidRDefault="00455A1F" w:rsidP="00C4623E">
            <w:pPr>
              <w:jc w:val="center"/>
            </w:pPr>
            <w:r w:rsidRPr="00252459">
              <w:t>124</w:t>
            </w:r>
          </w:p>
        </w:tc>
        <w:tc>
          <w:tcPr>
            <w:tcW w:w="992" w:type="dxa"/>
          </w:tcPr>
          <w:p w14:paraId="061615A2" w14:textId="586A15F4" w:rsidR="00455A1F" w:rsidRPr="00252459" w:rsidRDefault="00455A1F" w:rsidP="00C4623E">
            <w:pPr>
              <w:jc w:val="center"/>
            </w:pPr>
            <w:r w:rsidRPr="00252459">
              <w:t>81 (65,3)</w:t>
            </w:r>
          </w:p>
        </w:tc>
        <w:tc>
          <w:tcPr>
            <w:tcW w:w="709" w:type="dxa"/>
          </w:tcPr>
          <w:p w14:paraId="63BB8F80" w14:textId="1D42F4CD" w:rsidR="00455A1F" w:rsidRPr="00252459" w:rsidRDefault="00455A1F" w:rsidP="00C4623E">
            <w:pPr>
              <w:jc w:val="center"/>
            </w:pPr>
            <w:r w:rsidRPr="00252459">
              <w:t>87</w:t>
            </w:r>
          </w:p>
        </w:tc>
        <w:tc>
          <w:tcPr>
            <w:tcW w:w="992" w:type="dxa"/>
          </w:tcPr>
          <w:p w14:paraId="066C578A" w14:textId="6056459A" w:rsidR="00455A1F" w:rsidRPr="00252459" w:rsidRDefault="00455A1F" w:rsidP="00C4623E">
            <w:pPr>
              <w:jc w:val="center"/>
            </w:pPr>
            <w:r w:rsidRPr="00252459">
              <w:t>61 (70,1)</w:t>
            </w:r>
          </w:p>
        </w:tc>
        <w:tc>
          <w:tcPr>
            <w:tcW w:w="709" w:type="dxa"/>
          </w:tcPr>
          <w:p w14:paraId="6AD9253A" w14:textId="152DDCB6" w:rsidR="00455A1F" w:rsidRPr="00252459" w:rsidRDefault="00455A1F" w:rsidP="00C4623E">
            <w:pPr>
              <w:jc w:val="center"/>
            </w:pPr>
            <w:r w:rsidRPr="00252459">
              <w:t>123</w:t>
            </w:r>
          </w:p>
        </w:tc>
        <w:tc>
          <w:tcPr>
            <w:tcW w:w="992" w:type="dxa"/>
          </w:tcPr>
          <w:p w14:paraId="1848A7B1" w14:textId="272A08AD" w:rsidR="00455A1F" w:rsidRPr="00252459" w:rsidRDefault="00455A1F" w:rsidP="00C4623E">
            <w:pPr>
              <w:jc w:val="center"/>
            </w:pPr>
            <w:r w:rsidRPr="00252459">
              <w:t>94 (76,4)</w:t>
            </w:r>
          </w:p>
        </w:tc>
        <w:tc>
          <w:tcPr>
            <w:tcW w:w="709" w:type="dxa"/>
          </w:tcPr>
          <w:p w14:paraId="74D19B0A" w14:textId="55115251" w:rsidR="00455A1F" w:rsidRPr="00252459" w:rsidRDefault="00455A1F" w:rsidP="00C4623E">
            <w:pPr>
              <w:jc w:val="center"/>
            </w:pPr>
            <w:r w:rsidRPr="00252459">
              <w:t>99</w:t>
            </w:r>
          </w:p>
        </w:tc>
        <w:tc>
          <w:tcPr>
            <w:tcW w:w="992" w:type="dxa"/>
          </w:tcPr>
          <w:p w14:paraId="0E72AA3D" w14:textId="1A761BE6" w:rsidR="00455A1F" w:rsidRPr="00252459" w:rsidRDefault="00455A1F" w:rsidP="00C4623E">
            <w:pPr>
              <w:jc w:val="center"/>
            </w:pPr>
            <w:r w:rsidRPr="00252459">
              <w:t>72 (72,7)</w:t>
            </w:r>
          </w:p>
        </w:tc>
        <w:tc>
          <w:tcPr>
            <w:tcW w:w="709" w:type="dxa"/>
          </w:tcPr>
          <w:p w14:paraId="365601DA" w14:textId="2921BD94" w:rsidR="00455A1F" w:rsidRPr="00252459" w:rsidRDefault="00455A1F" w:rsidP="00C4623E">
            <w:pPr>
              <w:jc w:val="center"/>
            </w:pPr>
            <w:r w:rsidRPr="00252459">
              <w:t>91</w:t>
            </w:r>
          </w:p>
        </w:tc>
        <w:tc>
          <w:tcPr>
            <w:tcW w:w="992" w:type="dxa"/>
          </w:tcPr>
          <w:p w14:paraId="11CF7DCB" w14:textId="31EAF28F" w:rsidR="00455A1F" w:rsidRPr="00252459" w:rsidRDefault="00455A1F" w:rsidP="00C4623E">
            <w:pPr>
              <w:jc w:val="center"/>
            </w:pPr>
            <w:r w:rsidRPr="00252459">
              <w:t>51 (56,0)</w:t>
            </w:r>
          </w:p>
        </w:tc>
      </w:tr>
      <w:tr w:rsidR="00455A1F" w:rsidRPr="00252459" w14:paraId="3EEE4B9C" w14:textId="6019A285" w:rsidTr="00C4623E">
        <w:tc>
          <w:tcPr>
            <w:tcW w:w="1418" w:type="dxa"/>
          </w:tcPr>
          <w:p w14:paraId="1F5D95B3" w14:textId="108DD53F" w:rsidR="00455A1F" w:rsidRPr="00252459" w:rsidRDefault="00455A1F" w:rsidP="00D870BB">
            <w:r w:rsidRPr="00252459">
              <w:rPr>
                <w:lang w:eastAsia="de-DE"/>
              </w:rPr>
              <w:t>Abschlüsse</w:t>
            </w:r>
          </w:p>
        </w:tc>
        <w:tc>
          <w:tcPr>
            <w:tcW w:w="709" w:type="dxa"/>
          </w:tcPr>
          <w:p w14:paraId="6C6A7B99" w14:textId="75525F76" w:rsidR="00455A1F" w:rsidRPr="00252459" w:rsidRDefault="00455A1F" w:rsidP="00C4623E">
            <w:pPr>
              <w:jc w:val="center"/>
            </w:pPr>
            <w:r w:rsidRPr="00252459">
              <w:t>56</w:t>
            </w:r>
          </w:p>
        </w:tc>
        <w:tc>
          <w:tcPr>
            <w:tcW w:w="992" w:type="dxa"/>
          </w:tcPr>
          <w:p w14:paraId="6444BA29" w14:textId="38A6C88F" w:rsidR="00455A1F" w:rsidRPr="00252459" w:rsidRDefault="00455A1F" w:rsidP="00C4623E">
            <w:pPr>
              <w:jc w:val="center"/>
            </w:pPr>
            <w:r w:rsidRPr="00252459">
              <w:t>27 (48,2)</w:t>
            </w:r>
          </w:p>
        </w:tc>
        <w:tc>
          <w:tcPr>
            <w:tcW w:w="709" w:type="dxa"/>
          </w:tcPr>
          <w:p w14:paraId="3451EA43" w14:textId="00C262D5" w:rsidR="00455A1F" w:rsidRPr="00252459" w:rsidRDefault="00455A1F" w:rsidP="00C4623E">
            <w:pPr>
              <w:jc w:val="center"/>
            </w:pPr>
            <w:r w:rsidRPr="00252459">
              <w:t>40</w:t>
            </w:r>
          </w:p>
        </w:tc>
        <w:tc>
          <w:tcPr>
            <w:tcW w:w="992" w:type="dxa"/>
          </w:tcPr>
          <w:p w14:paraId="59075496" w14:textId="55ECC6D5" w:rsidR="00455A1F" w:rsidRPr="00252459" w:rsidRDefault="00455A1F" w:rsidP="00C4623E">
            <w:pPr>
              <w:jc w:val="center"/>
            </w:pPr>
            <w:r w:rsidRPr="00252459">
              <w:t>30 (75,0)</w:t>
            </w:r>
          </w:p>
        </w:tc>
        <w:tc>
          <w:tcPr>
            <w:tcW w:w="709" w:type="dxa"/>
          </w:tcPr>
          <w:p w14:paraId="7A33076B" w14:textId="178E21A4" w:rsidR="00455A1F" w:rsidRPr="00252459" w:rsidRDefault="00455A1F" w:rsidP="00C4623E">
            <w:pPr>
              <w:jc w:val="center"/>
            </w:pPr>
            <w:r w:rsidRPr="00252459">
              <w:t>34</w:t>
            </w:r>
          </w:p>
        </w:tc>
        <w:tc>
          <w:tcPr>
            <w:tcW w:w="992" w:type="dxa"/>
          </w:tcPr>
          <w:p w14:paraId="3BA69155" w14:textId="32EDE73E" w:rsidR="00455A1F" w:rsidRPr="00252459" w:rsidRDefault="00455A1F" w:rsidP="00C4623E">
            <w:pPr>
              <w:jc w:val="center"/>
            </w:pPr>
            <w:r w:rsidRPr="00252459">
              <w:t>22 (64,7)</w:t>
            </w:r>
          </w:p>
        </w:tc>
        <w:tc>
          <w:tcPr>
            <w:tcW w:w="709" w:type="dxa"/>
          </w:tcPr>
          <w:p w14:paraId="30C8D676" w14:textId="2EA20C12" w:rsidR="00455A1F" w:rsidRPr="00252459" w:rsidRDefault="00C4623E" w:rsidP="00C4623E">
            <w:pPr>
              <w:jc w:val="center"/>
            </w:pPr>
            <w:r w:rsidRPr="00252459">
              <w:t>55</w:t>
            </w:r>
          </w:p>
        </w:tc>
        <w:tc>
          <w:tcPr>
            <w:tcW w:w="992" w:type="dxa"/>
          </w:tcPr>
          <w:p w14:paraId="07877CDF" w14:textId="367B1008" w:rsidR="00455A1F" w:rsidRPr="00252459" w:rsidRDefault="00C4623E" w:rsidP="00C4623E">
            <w:pPr>
              <w:jc w:val="center"/>
            </w:pPr>
            <w:r w:rsidRPr="00252459">
              <w:t>35 (63,6)</w:t>
            </w:r>
          </w:p>
        </w:tc>
        <w:tc>
          <w:tcPr>
            <w:tcW w:w="709" w:type="dxa"/>
          </w:tcPr>
          <w:p w14:paraId="00224CF0" w14:textId="7BA09A6C" w:rsidR="00455A1F" w:rsidRPr="00252459" w:rsidRDefault="00455A1F" w:rsidP="00C4623E">
            <w:pPr>
              <w:jc w:val="center"/>
            </w:pPr>
            <w:r w:rsidRPr="00252459">
              <w:t>27</w:t>
            </w:r>
          </w:p>
        </w:tc>
        <w:tc>
          <w:tcPr>
            <w:tcW w:w="992" w:type="dxa"/>
          </w:tcPr>
          <w:p w14:paraId="527CB6FC" w14:textId="01F0842D" w:rsidR="00455A1F" w:rsidRPr="00252459" w:rsidRDefault="00455A1F" w:rsidP="00C4623E">
            <w:pPr>
              <w:jc w:val="center"/>
            </w:pPr>
            <w:r w:rsidRPr="00252459">
              <w:t>22 (81,5)</w:t>
            </w:r>
          </w:p>
        </w:tc>
      </w:tr>
      <w:tr w:rsidR="00455A1F" w:rsidRPr="00252459" w14:paraId="4F14249C" w14:textId="77777777" w:rsidTr="00C4623E">
        <w:tc>
          <w:tcPr>
            <w:tcW w:w="1418" w:type="dxa"/>
          </w:tcPr>
          <w:p w14:paraId="5775026D" w14:textId="18C19341" w:rsidR="00455A1F" w:rsidRPr="00252459" w:rsidRDefault="00C4623E" w:rsidP="00D65417">
            <w:pPr>
              <w:rPr>
                <w:color w:val="7F7F7F" w:themeColor="text1" w:themeTint="80"/>
              </w:rPr>
            </w:pPr>
            <w:r w:rsidRPr="00252459">
              <w:rPr>
                <w:color w:val="7F7F7F" w:themeColor="text1" w:themeTint="80"/>
                <w:lang w:eastAsia="de-DE"/>
              </w:rPr>
              <w:t>Keine Rück-meldung</w:t>
            </w:r>
          </w:p>
        </w:tc>
        <w:tc>
          <w:tcPr>
            <w:tcW w:w="709" w:type="dxa"/>
          </w:tcPr>
          <w:p w14:paraId="3EEB0157" w14:textId="77777777" w:rsidR="00455A1F" w:rsidRPr="00252459" w:rsidRDefault="00455A1F" w:rsidP="00C4623E">
            <w:pPr>
              <w:jc w:val="center"/>
              <w:rPr>
                <w:color w:val="7F7F7F" w:themeColor="text1" w:themeTint="80"/>
              </w:rPr>
            </w:pPr>
            <w:r w:rsidRPr="00252459">
              <w:rPr>
                <w:color w:val="7F7F7F" w:themeColor="text1" w:themeTint="80"/>
              </w:rPr>
              <w:t>114</w:t>
            </w:r>
          </w:p>
        </w:tc>
        <w:tc>
          <w:tcPr>
            <w:tcW w:w="992" w:type="dxa"/>
          </w:tcPr>
          <w:p w14:paraId="589F361A" w14:textId="77777777" w:rsidR="00455A1F" w:rsidRPr="00252459" w:rsidRDefault="00455A1F" w:rsidP="00C4623E">
            <w:pPr>
              <w:jc w:val="center"/>
              <w:rPr>
                <w:color w:val="7F7F7F" w:themeColor="text1" w:themeTint="80"/>
              </w:rPr>
            </w:pPr>
            <w:r w:rsidRPr="00252459">
              <w:rPr>
                <w:color w:val="7F7F7F" w:themeColor="text1" w:themeTint="80"/>
              </w:rPr>
              <w:t>76 (66,7)</w:t>
            </w:r>
          </w:p>
        </w:tc>
        <w:tc>
          <w:tcPr>
            <w:tcW w:w="709" w:type="dxa"/>
          </w:tcPr>
          <w:p w14:paraId="6EEB78EE" w14:textId="77777777" w:rsidR="00455A1F" w:rsidRPr="00252459" w:rsidRDefault="00455A1F" w:rsidP="00C4623E">
            <w:pPr>
              <w:jc w:val="center"/>
              <w:rPr>
                <w:color w:val="7F7F7F" w:themeColor="text1" w:themeTint="80"/>
              </w:rPr>
            </w:pPr>
            <w:r w:rsidRPr="00252459">
              <w:rPr>
                <w:color w:val="7F7F7F" w:themeColor="text1" w:themeTint="80"/>
              </w:rPr>
              <w:t>173</w:t>
            </w:r>
          </w:p>
        </w:tc>
        <w:tc>
          <w:tcPr>
            <w:tcW w:w="992" w:type="dxa"/>
          </w:tcPr>
          <w:p w14:paraId="5A8B3B78" w14:textId="77777777" w:rsidR="00455A1F" w:rsidRPr="00252459" w:rsidRDefault="00455A1F" w:rsidP="00C4623E">
            <w:pPr>
              <w:jc w:val="center"/>
              <w:rPr>
                <w:color w:val="7F7F7F" w:themeColor="text1" w:themeTint="80"/>
              </w:rPr>
            </w:pPr>
            <w:r w:rsidRPr="00252459">
              <w:rPr>
                <w:color w:val="7F7F7F" w:themeColor="text1" w:themeTint="80"/>
              </w:rPr>
              <w:t>104 (60,1)</w:t>
            </w:r>
          </w:p>
        </w:tc>
        <w:tc>
          <w:tcPr>
            <w:tcW w:w="709" w:type="dxa"/>
          </w:tcPr>
          <w:p w14:paraId="2A7551EC" w14:textId="414521ED" w:rsidR="00455A1F" w:rsidRPr="00252459" w:rsidRDefault="00455A1F" w:rsidP="00C4623E">
            <w:pPr>
              <w:jc w:val="center"/>
              <w:rPr>
                <w:color w:val="7F7F7F" w:themeColor="text1" w:themeTint="80"/>
              </w:rPr>
            </w:pPr>
            <w:r w:rsidRPr="00252459">
              <w:rPr>
                <w:color w:val="7F7F7F" w:themeColor="text1" w:themeTint="80"/>
              </w:rPr>
              <w:t>136</w:t>
            </w:r>
          </w:p>
        </w:tc>
        <w:tc>
          <w:tcPr>
            <w:tcW w:w="992" w:type="dxa"/>
          </w:tcPr>
          <w:p w14:paraId="71D490B7" w14:textId="0EB48472" w:rsidR="00455A1F" w:rsidRPr="00252459" w:rsidRDefault="00455A1F" w:rsidP="00C4623E">
            <w:pPr>
              <w:jc w:val="center"/>
              <w:rPr>
                <w:color w:val="7F7F7F" w:themeColor="text1" w:themeTint="80"/>
              </w:rPr>
            </w:pPr>
            <w:r w:rsidRPr="00252459">
              <w:rPr>
                <w:color w:val="7F7F7F" w:themeColor="text1" w:themeTint="80"/>
              </w:rPr>
              <w:t>99 (72,8)</w:t>
            </w:r>
          </w:p>
        </w:tc>
        <w:tc>
          <w:tcPr>
            <w:tcW w:w="709" w:type="dxa"/>
          </w:tcPr>
          <w:p w14:paraId="36B3B240" w14:textId="4F05C39D" w:rsidR="00455A1F" w:rsidRPr="00252459" w:rsidRDefault="00C4623E" w:rsidP="00C4623E">
            <w:pPr>
              <w:jc w:val="center"/>
              <w:rPr>
                <w:color w:val="7F7F7F" w:themeColor="text1" w:themeTint="80"/>
              </w:rPr>
            </w:pPr>
            <w:r w:rsidRPr="00252459">
              <w:rPr>
                <w:color w:val="7F7F7F" w:themeColor="text1" w:themeTint="80"/>
              </w:rPr>
              <w:t>122</w:t>
            </w:r>
          </w:p>
        </w:tc>
        <w:tc>
          <w:tcPr>
            <w:tcW w:w="992" w:type="dxa"/>
          </w:tcPr>
          <w:p w14:paraId="467D57E0" w14:textId="67741262" w:rsidR="00455A1F" w:rsidRPr="00252459" w:rsidRDefault="00C4623E" w:rsidP="00C4623E">
            <w:pPr>
              <w:jc w:val="center"/>
              <w:rPr>
                <w:color w:val="7F7F7F" w:themeColor="text1" w:themeTint="80"/>
              </w:rPr>
            </w:pPr>
            <w:r w:rsidRPr="00252459">
              <w:rPr>
                <w:color w:val="7F7F7F" w:themeColor="text1" w:themeTint="80"/>
              </w:rPr>
              <w:t>76 (62,3)</w:t>
            </w:r>
          </w:p>
        </w:tc>
        <w:tc>
          <w:tcPr>
            <w:tcW w:w="709" w:type="dxa"/>
          </w:tcPr>
          <w:p w14:paraId="02C0AF59" w14:textId="24A62F7E" w:rsidR="00455A1F" w:rsidRPr="00252459" w:rsidRDefault="004C0D37" w:rsidP="00C4623E">
            <w:pPr>
              <w:jc w:val="center"/>
              <w:rPr>
                <w:color w:val="7F7F7F" w:themeColor="text1" w:themeTint="80"/>
              </w:rPr>
            </w:pPr>
            <w:r w:rsidRPr="00252459">
              <w:rPr>
                <w:color w:val="7F7F7F" w:themeColor="text1" w:themeTint="80"/>
              </w:rPr>
              <w:t>-</w:t>
            </w:r>
          </w:p>
        </w:tc>
        <w:tc>
          <w:tcPr>
            <w:tcW w:w="992" w:type="dxa"/>
          </w:tcPr>
          <w:p w14:paraId="3513AE58" w14:textId="3C47AC35" w:rsidR="00455A1F" w:rsidRPr="00252459" w:rsidRDefault="004C0D37" w:rsidP="00C4623E">
            <w:pPr>
              <w:jc w:val="center"/>
              <w:rPr>
                <w:color w:val="7F7F7F" w:themeColor="text1" w:themeTint="80"/>
              </w:rPr>
            </w:pPr>
            <w:r w:rsidRPr="00252459">
              <w:rPr>
                <w:color w:val="7F7F7F" w:themeColor="text1" w:themeTint="80"/>
              </w:rPr>
              <w:t>-</w:t>
            </w:r>
          </w:p>
        </w:tc>
      </w:tr>
      <w:tr w:rsidR="00455A1F" w:rsidRPr="00252459" w14:paraId="70FD9F24" w14:textId="1584C641" w:rsidTr="00C4623E">
        <w:tc>
          <w:tcPr>
            <w:tcW w:w="1418" w:type="dxa"/>
          </w:tcPr>
          <w:p w14:paraId="56D770E5" w14:textId="4FBFA229" w:rsidR="00455A1F" w:rsidRPr="00252459" w:rsidRDefault="00455A1F" w:rsidP="00D870BB">
            <w:proofErr w:type="spellStart"/>
            <w:r w:rsidRPr="00252459">
              <w:rPr>
                <w:lang w:eastAsia="de-DE"/>
              </w:rPr>
              <w:t>Promovie</w:t>
            </w:r>
            <w:r w:rsidR="00C4623E" w:rsidRPr="00252459">
              <w:rPr>
                <w:lang w:eastAsia="de-DE"/>
              </w:rPr>
              <w:t>-</w:t>
            </w:r>
            <w:r w:rsidRPr="00252459">
              <w:rPr>
                <w:lang w:eastAsia="de-DE"/>
              </w:rPr>
              <w:t>rende</w:t>
            </w:r>
            <w:proofErr w:type="spellEnd"/>
          </w:p>
        </w:tc>
        <w:tc>
          <w:tcPr>
            <w:tcW w:w="709" w:type="dxa"/>
          </w:tcPr>
          <w:p w14:paraId="4920F2C5" w14:textId="50D0635B" w:rsidR="00455A1F" w:rsidRPr="00252459" w:rsidRDefault="00455A1F" w:rsidP="00C4623E">
            <w:pPr>
              <w:jc w:val="center"/>
            </w:pPr>
            <w:r w:rsidRPr="00252459">
              <w:t>55</w:t>
            </w:r>
          </w:p>
        </w:tc>
        <w:tc>
          <w:tcPr>
            <w:tcW w:w="992" w:type="dxa"/>
          </w:tcPr>
          <w:p w14:paraId="2212E586" w14:textId="78FD28B1" w:rsidR="00455A1F" w:rsidRPr="00252459" w:rsidRDefault="00455A1F" w:rsidP="00C4623E">
            <w:pPr>
              <w:jc w:val="center"/>
            </w:pPr>
            <w:r w:rsidRPr="00252459">
              <w:t>30 (54,5)</w:t>
            </w:r>
          </w:p>
        </w:tc>
        <w:tc>
          <w:tcPr>
            <w:tcW w:w="709" w:type="dxa"/>
          </w:tcPr>
          <w:p w14:paraId="7B3E30AA" w14:textId="1B375A37" w:rsidR="00455A1F" w:rsidRPr="00252459" w:rsidRDefault="00455A1F" w:rsidP="00C4623E">
            <w:pPr>
              <w:jc w:val="center"/>
            </w:pPr>
            <w:r w:rsidRPr="00252459">
              <w:t>48</w:t>
            </w:r>
          </w:p>
        </w:tc>
        <w:tc>
          <w:tcPr>
            <w:tcW w:w="992" w:type="dxa"/>
          </w:tcPr>
          <w:p w14:paraId="33D827C6" w14:textId="31FCC1F6" w:rsidR="00455A1F" w:rsidRPr="00252459" w:rsidRDefault="00455A1F" w:rsidP="00C4623E">
            <w:pPr>
              <w:jc w:val="center"/>
            </w:pPr>
            <w:r w:rsidRPr="00252459">
              <w:t>29 (60,4)</w:t>
            </w:r>
          </w:p>
        </w:tc>
        <w:tc>
          <w:tcPr>
            <w:tcW w:w="709" w:type="dxa"/>
          </w:tcPr>
          <w:p w14:paraId="18D4A9C2" w14:textId="22D8DAC4" w:rsidR="00455A1F" w:rsidRPr="00252459" w:rsidRDefault="00455A1F" w:rsidP="00C4623E">
            <w:pPr>
              <w:jc w:val="center"/>
            </w:pPr>
            <w:r w:rsidRPr="00252459">
              <w:t>45</w:t>
            </w:r>
          </w:p>
        </w:tc>
        <w:tc>
          <w:tcPr>
            <w:tcW w:w="992" w:type="dxa"/>
          </w:tcPr>
          <w:p w14:paraId="49FC0179" w14:textId="69C868C8" w:rsidR="00455A1F" w:rsidRPr="00252459" w:rsidRDefault="00455A1F" w:rsidP="00C4623E">
            <w:pPr>
              <w:jc w:val="center"/>
            </w:pPr>
            <w:r w:rsidRPr="00252459">
              <w:t>25 (55,6)</w:t>
            </w:r>
          </w:p>
        </w:tc>
        <w:tc>
          <w:tcPr>
            <w:tcW w:w="709" w:type="dxa"/>
          </w:tcPr>
          <w:p w14:paraId="33ABE573" w14:textId="685E73FD" w:rsidR="00455A1F" w:rsidRPr="00252459" w:rsidRDefault="00C4623E" w:rsidP="00C4623E">
            <w:pPr>
              <w:jc w:val="center"/>
            </w:pPr>
            <w:r w:rsidRPr="00252459">
              <w:t>51</w:t>
            </w:r>
          </w:p>
        </w:tc>
        <w:tc>
          <w:tcPr>
            <w:tcW w:w="992" w:type="dxa"/>
          </w:tcPr>
          <w:p w14:paraId="2B2D29FF" w14:textId="15AAF303" w:rsidR="00455A1F" w:rsidRPr="00252459" w:rsidRDefault="00C4623E" w:rsidP="00C4623E">
            <w:pPr>
              <w:jc w:val="center"/>
            </w:pPr>
            <w:r w:rsidRPr="00252459">
              <w:t>27 (52,9)</w:t>
            </w:r>
          </w:p>
        </w:tc>
        <w:tc>
          <w:tcPr>
            <w:tcW w:w="709" w:type="dxa"/>
          </w:tcPr>
          <w:p w14:paraId="63D156D9" w14:textId="51A1119A" w:rsidR="00455A1F" w:rsidRPr="00252459" w:rsidRDefault="00455A1F" w:rsidP="00C4623E">
            <w:pPr>
              <w:jc w:val="center"/>
            </w:pPr>
            <w:r w:rsidRPr="00252459">
              <w:t>58</w:t>
            </w:r>
          </w:p>
        </w:tc>
        <w:tc>
          <w:tcPr>
            <w:tcW w:w="992" w:type="dxa"/>
          </w:tcPr>
          <w:p w14:paraId="21B663E3" w14:textId="1EA049B6" w:rsidR="00455A1F" w:rsidRPr="00252459" w:rsidRDefault="00455A1F" w:rsidP="00C4623E">
            <w:pPr>
              <w:jc w:val="center"/>
            </w:pPr>
            <w:r w:rsidRPr="00252459">
              <w:t>31 (53,4)</w:t>
            </w:r>
          </w:p>
        </w:tc>
      </w:tr>
    </w:tbl>
    <w:p w14:paraId="40BC7764" w14:textId="77777777" w:rsidR="00F62979" w:rsidRPr="00252459" w:rsidRDefault="00F62979" w:rsidP="00AC70F1"/>
    <w:p w14:paraId="50BBAE4B" w14:textId="77777777" w:rsidR="00E804CF" w:rsidRPr="00252459" w:rsidRDefault="00E804CF" w:rsidP="00950F9F">
      <w:pPr>
        <w:spacing w:line="276" w:lineRule="auto"/>
        <w:jc w:val="both"/>
      </w:pPr>
    </w:p>
    <w:p w14:paraId="4C44B8CD" w14:textId="457C6857" w:rsidR="00CC4FB1" w:rsidRPr="00252459" w:rsidRDefault="00CC4FB1" w:rsidP="00950F9F">
      <w:pPr>
        <w:spacing w:line="276" w:lineRule="auto"/>
        <w:jc w:val="both"/>
      </w:pPr>
      <w:r w:rsidRPr="00252459">
        <w:t>Die Zahl der</w:t>
      </w:r>
      <w:r w:rsidR="00950F9F" w:rsidRPr="00252459">
        <w:t xml:space="preserve"> an</w:t>
      </w:r>
      <w:r w:rsidR="00C806A3" w:rsidRPr="00252459">
        <w:t xml:space="preserve"> </w:t>
      </w:r>
      <w:r w:rsidR="00950F9F" w:rsidRPr="00252459">
        <w:t>der Theologischen Fakultät eingeschriebenen</w:t>
      </w:r>
      <w:r w:rsidRPr="00252459">
        <w:t xml:space="preserve"> Studierenden </w:t>
      </w:r>
      <w:r w:rsidR="004C0D37" w:rsidRPr="00252459">
        <w:t>sinkt</w:t>
      </w:r>
      <w:r w:rsidRPr="00252459">
        <w:t xml:space="preserve"> seit dem WS 2019/20 kontinuierlich</w:t>
      </w:r>
      <w:r w:rsidR="00950F9F" w:rsidRPr="00252459">
        <w:t xml:space="preserve"> um etwa 75 Studierende pro Studienjahr</w:t>
      </w:r>
      <w:r w:rsidR="00C806A3" w:rsidRPr="00252459">
        <w:t xml:space="preserve">. </w:t>
      </w:r>
      <w:r w:rsidRPr="00252459">
        <w:t xml:space="preserve">Der Anteil der als weiblich gelesenen Studierenden blieb dabei durchgehend bei über 60%. </w:t>
      </w:r>
    </w:p>
    <w:p w14:paraId="4163DC70" w14:textId="31837C10" w:rsidR="009F74F5" w:rsidRPr="00252459" w:rsidRDefault="00CC4FB1" w:rsidP="00950F9F">
      <w:pPr>
        <w:spacing w:line="276" w:lineRule="auto"/>
        <w:jc w:val="both"/>
      </w:pPr>
      <w:r w:rsidRPr="00252459">
        <w:t xml:space="preserve">Die Zahl der </w:t>
      </w:r>
      <w:r w:rsidR="00950F9F" w:rsidRPr="00252459">
        <w:t>neu an der Fakultät eingeschriebenen Studierenden</w:t>
      </w:r>
      <w:r w:rsidR="00C806A3" w:rsidRPr="00252459">
        <w:t xml:space="preserve"> (Neuzugänge)</w:t>
      </w:r>
      <w:r w:rsidR="00950F9F" w:rsidRPr="00252459">
        <w:t xml:space="preserve"> </w:t>
      </w:r>
      <w:r w:rsidRPr="00252459">
        <w:t xml:space="preserve">schwankte </w:t>
      </w:r>
      <w:r w:rsidR="009F74F5" w:rsidRPr="00252459">
        <w:t>zwischen den</w:t>
      </w:r>
      <w:r w:rsidRPr="00252459">
        <w:t xml:space="preserve"> Berichtszeitr</w:t>
      </w:r>
      <w:r w:rsidR="009F74F5" w:rsidRPr="00252459">
        <w:t>ä</w:t>
      </w:r>
      <w:r w:rsidRPr="00252459">
        <w:t>um</w:t>
      </w:r>
      <w:r w:rsidR="009F74F5" w:rsidRPr="00252459">
        <w:t>en</w:t>
      </w:r>
      <w:r w:rsidRPr="00252459">
        <w:t xml:space="preserve"> relativ stark, bei gleichfalls erheblichen Unterschieden im Anteil der als weiblich gelesenen Studierenden</w:t>
      </w:r>
      <w:r w:rsidR="004C0D37" w:rsidRPr="00252459">
        <w:t>.</w:t>
      </w:r>
      <w:r w:rsidR="009F74F5" w:rsidRPr="00252459">
        <w:t xml:space="preserve"> </w:t>
      </w:r>
      <w:r w:rsidR="004C0D37" w:rsidRPr="00252459">
        <w:t>M</w:t>
      </w:r>
      <w:r w:rsidR="009F74F5" w:rsidRPr="00252459">
        <w:t>it Ausnahme des letzten Berichtszeitraum</w:t>
      </w:r>
      <w:r w:rsidR="00266BB9" w:rsidRPr="00252459">
        <w:t>s</w:t>
      </w:r>
      <w:r w:rsidR="009F74F5" w:rsidRPr="00252459">
        <w:t xml:space="preserve"> lag </w:t>
      </w:r>
      <w:r w:rsidR="004C0D37" w:rsidRPr="00252459">
        <w:t xml:space="preserve">dieser höher </w:t>
      </w:r>
      <w:r w:rsidR="009F74F5" w:rsidRPr="00252459">
        <w:t xml:space="preserve">als unter den </w:t>
      </w:r>
      <w:r w:rsidR="00950F9F" w:rsidRPr="00252459">
        <w:t xml:space="preserve">an der Fakultät </w:t>
      </w:r>
      <w:r w:rsidR="009F74F5" w:rsidRPr="00252459">
        <w:t xml:space="preserve">Studierenden insgesamt. </w:t>
      </w:r>
      <w:r w:rsidR="00EE6351" w:rsidRPr="00252459">
        <w:t>Der Anteil der als weiblich gelesenen Studierenden un</w:t>
      </w:r>
      <w:r w:rsidR="004C0D37" w:rsidRPr="00252459">
        <w:t>ter</w:t>
      </w:r>
      <w:r w:rsidR="00EE6351" w:rsidRPr="00252459">
        <w:t xml:space="preserve"> denen, die einen Abschluss erlangt haben, reicht von unter 50% bis über 80%.</w:t>
      </w:r>
      <w:r w:rsidR="004C0D37" w:rsidRPr="00252459">
        <w:rPr>
          <w:rStyle w:val="Funotenzeichen"/>
        </w:rPr>
        <w:footnoteReference w:id="4"/>
      </w:r>
      <w:r w:rsidR="00EE6351" w:rsidRPr="00252459">
        <w:t xml:space="preserve"> </w:t>
      </w:r>
    </w:p>
    <w:p w14:paraId="77A26FCB" w14:textId="7497488F" w:rsidR="00435184" w:rsidRPr="00252459" w:rsidRDefault="00435184" w:rsidP="00EB7498">
      <w:pPr>
        <w:spacing w:line="276" w:lineRule="auto"/>
        <w:jc w:val="both"/>
      </w:pPr>
      <w:r w:rsidRPr="00252459">
        <w:t xml:space="preserve">In </w:t>
      </w:r>
      <w:r w:rsidR="001671F2" w:rsidRPr="00252459">
        <w:fldChar w:fldCharType="begin"/>
      </w:r>
      <w:r w:rsidR="001671F2" w:rsidRPr="00252459">
        <w:instrText xml:space="preserve"> REF _Ref170143779 \h </w:instrText>
      </w:r>
      <w:r w:rsidR="00252459">
        <w:instrText xml:space="preserve"> \* MERGEFORMAT </w:instrText>
      </w:r>
      <w:r w:rsidR="001671F2" w:rsidRPr="00252459">
        <w:fldChar w:fldCharType="separate"/>
      </w:r>
      <w:r w:rsidR="001671F2" w:rsidRPr="00252459">
        <w:t xml:space="preserve">Tabelle </w:t>
      </w:r>
      <w:r w:rsidR="001671F2" w:rsidRPr="00252459">
        <w:rPr>
          <w:noProof/>
        </w:rPr>
        <w:t>1</w:t>
      </w:r>
      <w:r w:rsidR="001671F2" w:rsidRPr="00252459">
        <w:fldChar w:fldCharType="end"/>
      </w:r>
      <w:r w:rsidR="0047410B" w:rsidRPr="00252459">
        <w:t xml:space="preserve"> ist </w:t>
      </w:r>
      <w:r w:rsidR="005B501D" w:rsidRPr="00252459">
        <w:t>die</w:t>
      </w:r>
      <w:r w:rsidR="0047410B" w:rsidRPr="00252459">
        <w:t xml:space="preserve"> Zahl </w:t>
      </w:r>
      <w:r w:rsidR="00946032" w:rsidRPr="00252459">
        <w:t xml:space="preserve">der </w:t>
      </w:r>
      <w:r w:rsidR="0047410B" w:rsidRPr="00252459">
        <w:t xml:space="preserve">Studierenden aufgenommen, </w:t>
      </w:r>
      <w:r w:rsidR="005B501D" w:rsidRPr="00252459">
        <w:t xml:space="preserve">für </w:t>
      </w:r>
      <w:r w:rsidR="0047410B" w:rsidRPr="00252459">
        <w:t>die „</w:t>
      </w:r>
      <w:r w:rsidR="005B501D" w:rsidRPr="00252459">
        <w:t>keine Rückmeldung</w:t>
      </w:r>
      <w:r w:rsidR="0047410B" w:rsidRPr="00252459">
        <w:t>“</w:t>
      </w:r>
      <w:r w:rsidR="005B501D" w:rsidRPr="00252459">
        <w:t xml:space="preserve"> erfolgte</w:t>
      </w:r>
      <w:r w:rsidR="0047410B" w:rsidRPr="00252459">
        <w:t xml:space="preserve">. Diese Zahl </w:t>
      </w:r>
      <w:r w:rsidR="005B501D" w:rsidRPr="00252459">
        <w:t xml:space="preserve">wurde aus den Daten errechnet. Sie </w:t>
      </w:r>
      <w:r w:rsidR="0047410B" w:rsidRPr="00252459">
        <w:t xml:space="preserve">ergibt sich aus </w:t>
      </w:r>
      <w:r w:rsidR="00905C92" w:rsidRPr="00252459">
        <w:t xml:space="preserve">der Differenz </w:t>
      </w:r>
      <w:r w:rsidR="0047410B" w:rsidRPr="00252459">
        <w:t xml:space="preserve">der </w:t>
      </w:r>
      <w:r w:rsidR="00905C92" w:rsidRPr="00252459">
        <w:t>Gesamtz</w:t>
      </w:r>
      <w:r w:rsidR="0047410B" w:rsidRPr="00252459">
        <w:t xml:space="preserve">ahl der Studierenden im Berichtszeitraum abzüglich der Abschlusszahlen </w:t>
      </w:r>
      <w:r w:rsidR="00905C92" w:rsidRPr="00252459">
        <w:t>des</w:t>
      </w:r>
      <w:r w:rsidR="0047410B" w:rsidRPr="00252459">
        <w:t xml:space="preserve"> nächsten Berichtszeitraum</w:t>
      </w:r>
      <w:r w:rsidR="00905C92" w:rsidRPr="00252459">
        <w:t>s</w:t>
      </w:r>
      <w:r w:rsidR="0047410B" w:rsidRPr="00252459">
        <w:t xml:space="preserve"> (der die Abschlüsse der vorigen Periode enthält) </w:t>
      </w:r>
      <w:r w:rsidR="00905C92" w:rsidRPr="00252459">
        <w:t xml:space="preserve">und der Gesamtzahl der Studierenden im nächsten Berichtszeitraum abzüglich der Neuzugänge. Die </w:t>
      </w:r>
      <w:r w:rsidR="00060CD8" w:rsidRPr="00252459">
        <w:t>Zahl der Studierenden in den folgenden Berichtszeiträumen abzüglich der entsprechenden Neuzugänge</w:t>
      </w:r>
      <w:r w:rsidR="004359A2" w:rsidRPr="00252459">
        <w:t xml:space="preserve"> ist</w:t>
      </w:r>
      <w:r w:rsidR="00060CD8" w:rsidRPr="00252459">
        <w:t xml:space="preserve"> allerdings geringer als die Zahl der </w:t>
      </w:r>
      <w:r w:rsidR="00905C92" w:rsidRPr="00252459">
        <w:t>Studierenden</w:t>
      </w:r>
      <w:r w:rsidR="00060CD8" w:rsidRPr="00252459">
        <w:t xml:space="preserve"> des jeweils vorigen Berichtszeitraums</w:t>
      </w:r>
      <w:r w:rsidR="00905C92" w:rsidRPr="00252459">
        <w:t>, die keinen Abschluss gemacht haben</w:t>
      </w:r>
      <w:r w:rsidR="00060CD8" w:rsidRPr="00252459">
        <w:t xml:space="preserve">. Die beim Übergang eines Berichtszeitraumes zum nächsten </w:t>
      </w:r>
      <w:r w:rsidR="006F7C66" w:rsidRPr="00252459">
        <w:t xml:space="preserve">in der Statistik des Referats Akademisches Berichtswesen </w:t>
      </w:r>
      <w:r w:rsidR="00060CD8" w:rsidRPr="00252459">
        <w:t xml:space="preserve">„fehlenden“ Studierenden </w:t>
      </w:r>
      <w:r w:rsidR="00060CD8" w:rsidRPr="00252459">
        <w:lastRenderedPageBreak/>
        <w:t>k</w:t>
      </w:r>
      <w:r w:rsidR="006F7C66" w:rsidRPr="00252459">
        <w:t>ö</w:t>
      </w:r>
      <w:r w:rsidR="00060CD8" w:rsidRPr="00252459">
        <w:t>nn</w:t>
      </w:r>
      <w:r w:rsidR="006F7C66" w:rsidRPr="00252459">
        <w:t>en aus</w:t>
      </w:r>
      <w:r w:rsidR="00060CD8" w:rsidRPr="00252459">
        <w:t xml:space="preserve"> </w:t>
      </w:r>
      <w:r w:rsidR="006F7C66" w:rsidRPr="00252459">
        <w:t>verschiedenen</w:t>
      </w:r>
      <w:r w:rsidR="00060CD8" w:rsidRPr="00252459">
        <w:t xml:space="preserve"> Gründe</w:t>
      </w:r>
      <w:r w:rsidR="006F7C66" w:rsidRPr="00252459">
        <w:t>n</w:t>
      </w:r>
      <w:r w:rsidR="00060CD8" w:rsidRPr="00252459">
        <w:t xml:space="preserve"> </w:t>
      </w:r>
      <w:r w:rsidR="006F7C66" w:rsidRPr="00252459">
        <w:t>nicht Teil der Statistik sein. Hierzu zählen u. a.</w:t>
      </w:r>
      <w:r w:rsidR="00060CD8" w:rsidRPr="00252459">
        <w:t xml:space="preserve"> </w:t>
      </w:r>
      <w:r w:rsidR="006F7C66" w:rsidRPr="00252459">
        <w:t xml:space="preserve">eine </w:t>
      </w:r>
      <w:r w:rsidR="00060CD8" w:rsidRPr="00252459">
        <w:t>Beurlaubung, ein Auslandssemester</w:t>
      </w:r>
      <w:r w:rsidR="006F7C66" w:rsidRPr="00252459">
        <w:t>, ein Hauptfachwechsel</w:t>
      </w:r>
      <w:r w:rsidR="00060CD8" w:rsidRPr="00252459">
        <w:t xml:space="preserve"> oder eine </w:t>
      </w:r>
      <w:r w:rsidR="005914F8" w:rsidRPr="00252459">
        <w:t>Exmatrikulation</w:t>
      </w:r>
      <w:r w:rsidR="00060CD8" w:rsidRPr="00252459">
        <w:t xml:space="preserve">. </w:t>
      </w:r>
      <w:r w:rsidR="005914F8" w:rsidRPr="00252459">
        <w:t>Der Anteil der als weiblich gelesenen Studierenden unter den genannten Studierenden</w:t>
      </w:r>
      <w:r w:rsidR="00DE636E" w:rsidRPr="00252459">
        <w:t xml:space="preserve"> </w:t>
      </w:r>
      <w:r w:rsidR="005914F8" w:rsidRPr="00252459">
        <w:t xml:space="preserve">ohne Rückmeldung liegt zwischen etwa 60% und 73%. Er entspricht etwa dem Anteil der als weiblich gelesenen Studierenden an der Fakultät insgesamt, außer in den Berichtszeiträumen 2019/20 und 2021/22, in denen </w:t>
      </w:r>
      <w:r w:rsidR="00EB7498" w:rsidRPr="00252459">
        <w:t>dieser Anteil</w:t>
      </w:r>
      <w:r w:rsidR="005914F8" w:rsidRPr="00252459">
        <w:t xml:space="preserve"> höher war. </w:t>
      </w:r>
    </w:p>
    <w:p w14:paraId="7DA13C84" w14:textId="55CB5138" w:rsidR="006F7C66" w:rsidRPr="00252459" w:rsidRDefault="005914F8" w:rsidP="00950F9F">
      <w:pPr>
        <w:spacing w:line="276" w:lineRule="auto"/>
        <w:jc w:val="both"/>
      </w:pPr>
      <w:r w:rsidRPr="00252459">
        <w:t xml:space="preserve">Unter den Promovierenden liegt der Anteil der als weiblich gelesenen Personen zwar stets über 50% aber unterhalb des Wertes an der Fakultät insgesamt. </w:t>
      </w:r>
    </w:p>
    <w:p w14:paraId="3E610F75" w14:textId="44FBCB0E" w:rsidR="00014FD7" w:rsidRPr="00252459" w:rsidRDefault="004359A2" w:rsidP="00950F9F">
      <w:pPr>
        <w:spacing w:line="276" w:lineRule="auto"/>
        <w:jc w:val="both"/>
        <w:rPr>
          <w:i/>
          <w:iCs/>
        </w:rPr>
      </w:pPr>
      <w:r w:rsidRPr="00252459">
        <w:rPr>
          <w:i/>
          <w:iCs/>
        </w:rPr>
        <w:t>Für alle in </w:t>
      </w:r>
      <w:r w:rsidR="001671F2" w:rsidRPr="00252459">
        <w:rPr>
          <w:i/>
          <w:iCs/>
        </w:rPr>
        <w:fldChar w:fldCharType="begin"/>
      </w:r>
      <w:r w:rsidR="001671F2" w:rsidRPr="00252459">
        <w:rPr>
          <w:i/>
          <w:iCs/>
        </w:rPr>
        <w:instrText xml:space="preserve"> REF _Ref170143779 \h  \* MERGEFORMAT </w:instrText>
      </w:r>
      <w:r w:rsidR="001671F2" w:rsidRPr="00252459">
        <w:rPr>
          <w:i/>
          <w:iCs/>
        </w:rPr>
      </w:r>
      <w:r w:rsidR="001671F2" w:rsidRPr="00252459">
        <w:rPr>
          <w:i/>
          <w:iCs/>
        </w:rPr>
        <w:fldChar w:fldCharType="separate"/>
      </w:r>
      <w:r w:rsidR="001671F2" w:rsidRPr="00252459">
        <w:rPr>
          <w:i/>
          <w:iCs/>
        </w:rPr>
        <w:t xml:space="preserve">Tabelle </w:t>
      </w:r>
      <w:r w:rsidR="001671F2" w:rsidRPr="00252459">
        <w:rPr>
          <w:i/>
          <w:iCs/>
          <w:noProof/>
        </w:rPr>
        <w:t>1</w:t>
      </w:r>
      <w:r w:rsidR="001671F2" w:rsidRPr="00252459">
        <w:rPr>
          <w:i/>
          <w:iCs/>
        </w:rPr>
        <w:fldChar w:fldCharType="end"/>
      </w:r>
      <w:r w:rsidRPr="00252459">
        <w:rPr>
          <w:i/>
          <w:iCs/>
        </w:rPr>
        <w:t xml:space="preserve"> betrachteten Kennzahlen liegt der </w:t>
      </w:r>
      <w:r w:rsidR="00014FD7" w:rsidRPr="00252459">
        <w:rPr>
          <w:i/>
          <w:iCs/>
        </w:rPr>
        <w:t xml:space="preserve">Anteil der als weiblich gelesenen Studierenden </w:t>
      </w:r>
      <w:r w:rsidRPr="00252459">
        <w:rPr>
          <w:i/>
          <w:iCs/>
        </w:rPr>
        <w:t xml:space="preserve">an der Theologischen Fakultät höher als </w:t>
      </w:r>
      <w:r w:rsidR="00014FD7" w:rsidRPr="00252459">
        <w:rPr>
          <w:i/>
          <w:iCs/>
        </w:rPr>
        <w:t xml:space="preserve">an der Humboldt-Universität zu Berlin insgesamt. </w:t>
      </w:r>
    </w:p>
    <w:p w14:paraId="74D7592F" w14:textId="77777777" w:rsidR="00DE636E" w:rsidRPr="00252459" w:rsidRDefault="00DE636E" w:rsidP="00950F9F">
      <w:pPr>
        <w:spacing w:line="276" w:lineRule="auto"/>
        <w:jc w:val="both"/>
        <w:rPr>
          <w:b/>
          <w:bCs/>
        </w:rPr>
      </w:pPr>
    </w:p>
    <w:p w14:paraId="6D8C9399" w14:textId="3163B0C7" w:rsidR="009A06D3" w:rsidRPr="00252459" w:rsidRDefault="009A06D3" w:rsidP="009A06D3">
      <w:pPr>
        <w:pStyle w:val="berschrift1"/>
        <w:numPr>
          <w:ilvl w:val="0"/>
          <w:numId w:val="0"/>
        </w:numPr>
        <w:spacing w:before="0"/>
        <w:jc w:val="both"/>
        <w:rPr>
          <w:rFonts w:asciiTheme="majorBidi" w:hAnsiTheme="majorBidi"/>
          <w:sz w:val="22"/>
          <w:szCs w:val="22"/>
        </w:rPr>
      </w:pPr>
      <w:r w:rsidRPr="00252459">
        <w:rPr>
          <w:rFonts w:asciiTheme="majorBidi" w:hAnsiTheme="majorBidi"/>
          <w:sz w:val="22"/>
          <w:szCs w:val="22"/>
        </w:rPr>
        <w:t>3.2 Mitarbeitende</w:t>
      </w:r>
    </w:p>
    <w:p w14:paraId="03BD3AEB" w14:textId="422BC3BC" w:rsidR="009A06D3" w:rsidRPr="00252459" w:rsidRDefault="009A06D3" w:rsidP="00F50027">
      <w:pPr>
        <w:spacing w:line="276" w:lineRule="auto"/>
        <w:rPr>
          <w:i/>
          <w:iCs/>
        </w:rPr>
      </w:pPr>
      <w:r w:rsidRPr="00252459">
        <w:t xml:space="preserve">Wie bereits bei den Studierendenzahlen wurden auch für die </w:t>
      </w:r>
      <w:proofErr w:type="spellStart"/>
      <w:r w:rsidRPr="00252459">
        <w:t>Mitarbeitendenzahlen</w:t>
      </w:r>
      <w:proofErr w:type="spellEnd"/>
      <w:r w:rsidRPr="00252459">
        <w:t xml:space="preserve"> die zentralen Daten aus dem Referat Akademisches Berichtswesen der Humboldt-Universität zu Berlin </w:t>
      </w:r>
      <w:r w:rsidR="00F50027" w:rsidRPr="00252459">
        <w:t>zugrunde gelegt</w:t>
      </w:r>
      <w:r w:rsidRPr="00252459">
        <w:t xml:space="preserve">. </w:t>
      </w:r>
      <w:r w:rsidRPr="00252459">
        <w:rPr>
          <w:i/>
          <w:iCs/>
        </w:rPr>
        <w:t xml:space="preserve">Diese Daten </w:t>
      </w:r>
      <w:r w:rsidR="00F46E9D" w:rsidRPr="00252459">
        <w:rPr>
          <w:i/>
          <w:iCs/>
        </w:rPr>
        <w:t>wurden jeweils</w:t>
      </w:r>
      <w:r w:rsidRPr="00252459">
        <w:rPr>
          <w:i/>
          <w:iCs/>
        </w:rPr>
        <w:t xml:space="preserve"> zum Jahresende des angegebenen Kalenderjahres erhobe</w:t>
      </w:r>
      <w:r w:rsidR="0058179F" w:rsidRPr="00252459">
        <w:rPr>
          <w:i/>
          <w:iCs/>
        </w:rPr>
        <w:t>n und enthalten keine aus Drittmitteln finanzierte Gast- und Vertretungsprofessuren, die mit Frauen besetzt wurden.</w:t>
      </w:r>
      <w:r w:rsidR="0058179F" w:rsidRPr="00252459">
        <w:rPr>
          <w:rStyle w:val="Funotenzeichen"/>
          <w:i/>
          <w:iCs/>
        </w:rPr>
        <w:footnoteReference w:id="5"/>
      </w:r>
      <w:r w:rsidRPr="00252459">
        <w:rPr>
          <w:i/>
          <w:iCs/>
        </w:rPr>
        <w:t xml:space="preserve"> </w:t>
      </w:r>
    </w:p>
    <w:p w14:paraId="0C3890A1" w14:textId="33DAE1B4" w:rsidR="00DE636E" w:rsidRPr="00252459" w:rsidRDefault="009A06D3" w:rsidP="007B3402">
      <w:pPr>
        <w:spacing w:line="276" w:lineRule="auto"/>
        <w:jc w:val="both"/>
      </w:pPr>
      <w:r w:rsidRPr="00252459">
        <w:t xml:space="preserve">In </w:t>
      </w:r>
      <w:r w:rsidRPr="00252459">
        <w:fldChar w:fldCharType="begin"/>
      </w:r>
      <w:r w:rsidRPr="00252459">
        <w:instrText xml:space="preserve"> REF _Ref170148799 \h </w:instrText>
      </w:r>
      <w:r w:rsidR="00F50027" w:rsidRPr="00252459">
        <w:instrText xml:space="preserve"> \* MERGEFORMAT </w:instrText>
      </w:r>
      <w:r w:rsidRPr="00252459">
        <w:fldChar w:fldCharType="separate"/>
      </w:r>
      <w:r w:rsidRPr="00252459">
        <w:t xml:space="preserve">Tabelle </w:t>
      </w:r>
      <w:r w:rsidRPr="00252459">
        <w:rPr>
          <w:noProof/>
        </w:rPr>
        <w:t>2</w:t>
      </w:r>
      <w:r w:rsidRPr="00252459">
        <w:fldChar w:fldCharType="end"/>
      </w:r>
      <w:r w:rsidRPr="00252459">
        <w:t xml:space="preserve"> werden </w:t>
      </w:r>
      <w:proofErr w:type="spellStart"/>
      <w:r w:rsidRPr="00252459">
        <w:t>Mitarbeitendenzahlen</w:t>
      </w:r>
      <w:proofErr w:type="spellEnd"/>
      <w:r w:rsidRPr="00252459">
        <w:t xml:space="preserve"> </w:t>
      </w:r>
      <w:r w:rsidR="00F46E9D" w:rsidRPr="00252459">
        <w:t>entsprechend den</w:t>
      </w:r>
      <w:r w:rsidRPr="00252459">
        <w:t xml:space="preserve"> Berichtszeiträumen für die Studierenden</w:t>
      </w:r>
      <w:r w:rsidR="007B3402" w:rsidRPr="00252459">
        <w:softHyphen/>
      </w:r>
      <w:r w:rsidRPr="00252459">
        <w:t xml:space="preserve">zahlen </w:t>
      </w:r>
      <w:r w:rsidR="00F46E9D" w:rsidRPr="00252459">
        <w:t xml:space="preserve">des </w:t>
      </w:r>
      <w:r w:rsidRPr="00252459">
        <w:t>vorausgehenden Kalenderjahre</w:t>
      </w:r>
      <w:r w:rsidR="00F46E9D" w:rsidRPr="00252459">
        <w:t>s</w:t>
      </w:r>
      <w:r w:rsidRPr="00252459">
        <w:t xml:space="preserve"> gezeigt. </w:t>
      </w:r>
    </w:p>
    <w:p w14:paraId="7E4CE1A9" w14:textId="77777777" w:rsidR="009A06D3" w:rsidRPr="00252459" w:rsidRDefault="009A06D3" w:rsidP="00950F9F">
      <w:pPr>
        <w:spacing w:line="276" w:lineRule="auto"/>
        <w:jc w:val="both"/>
      </w:pPr>
    </w:p>
    <w:p w14:paraId="4BF36098" w14:textId="07CFEC70" w:rsidR="009A06D3" w:rsidRPr="00252459" w:rsidRDefault="009A06D3" w:rsidP="009A06D3">
      <w:pPr>
        <w:pStyle w:val="Beschriftung"/>
        <w:keepNext/>
        <w:rPr>
          <w:sz w:val="22"/>
          <w:szCs w:val="22"/>
        </w:rPr>
      </w:pPr>
      <w:bookmarkStart w:id="3" w:name="_Ref170148799"/>
      <w:r w:rsidRPr="00252459">
        <w:rPr>
          <w:sz w:val="22"/>
          <w:szCs w:val="22"/>
        </w:rPr>
        <w:t xml:space="preserve">Tabelle </w:t>
      </w:r>
      <w:r w:rsidRPr="00252459">
        <w:rPr>
          <w:sz w:val="22"/>
          <w:szCs w:val="22"/>
        </w:rPr>
        <w:fldChar w:fldCharType="begin"/>
      </w:r>
      <w:r w:rsidRPr="00252459">
        <w:rPr>
          <w:sz w:val="22"/>
          <w:szCs w:val="22"/>
        </w:rPr>
        <w:instrText xml:space="preserve"> SEQ Tabelle \* ARABIC </w:instrText>
      </w:r>
      <w:r w:rsidRPr="00252459">
        <w:rPr>
          <w:sz w:val="22"/>
          <w:szCs w:val="22"/>
        </w:rPr>
        <w:fldChar w:fldCharType="separate"/>
      </w:r>
      <w:r w:rsidRPr="00252459">
        <w:rPr>
          <w:noProof/>
          <w:sz w:val="22"/>
          <w:szCs w:val="22"/>
        </w:rPr>
        <w:t>2</w:t>
      </w:r>
      <w:r w:rsidRPr="00252459">
        <w:rPr>
          <w:sz w:val="22"/>
          <w:szCs w:val="22"/>
        </w:rPr>
        <w:fldChar w:fldCharType="end"/>
      </w:r>
      <w:bookmarkEnd w:id="3"/>
      <w:r w:rsidRPr="00252459">
        <w:rPr>
          <w:sz w:val="22"/>
          <w:szCs w:val="22"/>
        </w:rPr>
        <w:t xml:space="preserve">: Statistik zu den Anteilen der als weiblich gelesenen Mitarbeitenden an der Fakultät für verschiedene Kalenderjahre. </w:t>
      </w:r>
    </w:p>
    <w:tbl>
      <w:tblPr>
        <w:tblStyle w:val="Tabellenraster"/>
        <w:tblW w:w="0" w:type="auto"/>
        <w:tblInd w:w="-431" w:type="dxa"/>
        <w:tblLook w:val="04A0" w:firstRow="1" w:lastRow="0" w:firstColumn="1" w:lastColumn="0" w:noHBand="0" w:noVBand="1"/>
      </w:tblPr>
      <w:tblGrid>
        <w:gridCol w:w="1450"/>
        <w:gridCol w:w="796"/>
        <w:gridCol w:w="813"/>
        <w:gridCol w:w="796"/>
        <w:gridCol w:w="812"/>
        <w:gridCol w:w="796"/>
        <w:gridCol w:w="812"/>
        <w:gridCol w:w="796"/>
        <w:gridCol w:w="812"/>
        <w:gridCol w:w="797"/>
        <w:gridCol w:w="813"/>
      </w:tblGrid>
      <w:tr w:rsidR="001671F2" w:rsidRPr="00252459" w14:paraId="5FD2DB0B" w14:textId="77777777" w:rsidTr="009A06D3">
        <w:tc>
          <w:tcPr>
            <w:tcW w:w="1277" w:type="dxa"/>
            <w:vMerge w:val="restart"/>
          </w:tcPr>
          <w:p w14:paraId="56EC698B" w14:textId="77777777" w:rsidR="001671F2" w:rsidRPr="00252459" w:rsidRDefault="001671F2" w:rsidP="001671F2">
            <w:pPr>
              <w:jc w:val="both"/>
            </w:pPr>
          </w:p>
        </w:tc>
        <w:tc>
          <w:tcPr>
            <w:tcW w:w="1643" w:type="dxa"/>
            <w:gridSpan w:val="2"/>
          </w:tcPr>
          <w:p w14:paraId="15AC6329" w14:textId="2060CCE5" w:rsidR="001671F2" w:rsidRPr="00252459" w:rsidRDefault="001671F2" w:rsidP="001671F2">
            <w:pPr>
              <w:jc w:val="center"/>
            </w:pPr>
            <w:r w:rsidRPr="00252459">
              <w:t>2019</w:t>
            </w:r>
          </w:p>
        </w:tc>
        <w:tc>
          <w:tcPr>
            <w:tcW w:w="1642" w:type="dxa"/>
            <w:gridSpan w:val="2"/>
          </w:tcPr>
          <w:p w14:paraId="637A00EC" w14:textId="0FA0CBBD" w:rsidR="001671F2" w:rsidRPr="00252459" w:rsidRDefault="001671F2" w:rsidP="001671F2">
            <w:pPr>
              <w:jc w:val="center"/>
            </w:pPr>
            <w:r w:rsidRPr="00252459">
              <w:t>2020</w:t>
            </w:r>
          </w:p>
        </w:tc>
        <w:tc>
          <w:tcPr>
            <w:tcW w:w="1643" w:type="dxa"/>
            <w:gridSpan w:val="2"/>
          </w:tcPr>
          <w:p w14:paraId="5A82553E" w14:textId="590B5606" w:rsidR="001671F2" w:rsidRPr="00252459" w:rsidRDefault="001671F2" w:rsidP="001671F2">
            <w:pPr>
              <w:jc w:val="center"/>
            </w:pPr>
            <w:r w:rsidRPr="00252459">
              <w:t>2021</w:t>
            </w:r>
          </w:p>
        </w:tc>
        <w:tc>
          <w:tcPr>
            <w:tcW w:w="1643" w:type="dxa"/>
            <w:gridSpan w:val="2"/>
          </w:tcPr>
          <w:p w14:paraId="73B282FE" w14:textId="7FBB6DF9" w:rsidR="001671F2" w:rsidRPr="00252459" w:rsidRDefault="001671F2" w:rsidP="001671F2">
            <w:pPr>
              <w:jc w:val="center"/>
            </w:pPr>
            <w:r w:rsidRPr="00252459">
              <w:t>2022</w:t>
            </w:r>
          </w:p>
        </w:tc>
        <w:tc>
          <w:tcPr>
            <w:tcW w:w="1645" w:type="dxa"/>
            <w:gridSpan w:val="2"/>
          </w:tcPr>
          <w:p w14:paraId="2DACF8D5" w14:textId="4A8E26CB" w:rsidR="001671F2" w:rsidRPr="00252459" w:rsidRDefault="001671F2" w:rsidP="001671F2">
            <w:pPr>
              <w:jc w:val="center"/>
            </w:pPr>
            <w:r w:rsidRPr="00252459">
              <w:t>2023</w:t>
            </w:r>
          </w:p>
        </w:tc>
      </w:tr>
      <w:tr w:rsidR="009A06D3" w:rsidRPr="00252459" w14:paraId="35CF00E5" w14:textId="77777777" w:rsidTr="009A06D3">
        <w:tc>
          <w:tcPr>
            <w:tcW w:w="1277" w:type="dxa"/>
            <w:vMerge/>
          </w:tcPr>
          <w:p w14:paraId="372A22C4" w14:textId="77777777" w:rsidR="001671F2" w:rsidRPr="00252459" w:rsidRDefault="001671F2" w:rsidP="001671F2">
            <w:pPr>
              <w:jc w:val="both"/>
            </w:pPr>
          </w:p>
        </w:tc>
        <w:tc>
          <w:tcPr>
            <w:tcW w:w="821" w:type="dxa"/>
          </w:tcPr>
          <w:p w14:paraId="66849703" w14:textId="31615777" w:rsidR="001671F2" w:rsidRPr="00252459" w:rsidRDefault="001671F2" w:rsidP="001671F2">
            <w:pPr>
              <w:jc w:val="both"/>
            </w:pPr>
            <w:r w:rsidRPr="00252459">
              <w:t>Ges.</w:t>
            </w:r>
          </w:p>
        </w:tc>
        <w:tc>
          <w:tcPr>
            <w:tcW w:w="822" w:type="dxa"/>
          </w:tcPr>
          <w:p w14:paraId="07A237D1" w14:textId="7E65378F" w:rsidR="001671F2" w:rsidRPr="00252459" w:rsidRDefault="001671F2" w:rsidP="001671F2">
            <w:pPr>
              <w:jc w:val="both"/>
            </w:pPr>
            <w:r w:rsidRPr="00252459">
              <w:t>w* (%)</w:t>
            </w:r>
          </w:p>
        </w:tc>
        <w:tc>
          <w:tcPr>
            <w:tcW w:w="821" w:type="dxa"/>
          </w:tcPr>
          <w:p w14:paraId="75440BB6" w14:textId="0C116628" w:rsidR="001671F2" w:rsidRPr="00252459" w:rsidRDefault="001671F2" w:rsidP="001671F2">
            <w:pPr>
              <w:jc w:val="both"/>
            </w:pPr>
            <w:r w:rsidRPr="00252459">
              <w:t>Ges.</w:t>
            </w:r>
          </w:p>
        </w:tc>
        <w:tc>
          <w:tcPr>
            <w:tcW w:w="821" w:type="dxa"/>
          </w:tcPr>
          <w:p w14:paraId="4E824D90" w14:textId="1288D417" w:rsidR="001671F2" w:rsidRPr="00252459" w:rsidRDefault="001671F2" w:rsidP="001671F2">
            <w:pPr>
              <w:jc w:val="both"/>
            </w:pPr>
            <w:r w:rsidRPr="00252459">
              <w:t>w* (%)</w:t>
            </w:r>
          </w:p>
        </w:tc>
        <w:tc>
          <w:tcPr>
            <w:tcW w:w="822" w:type="dxa"/>
          </w:tcPr>
          <w:p w14:paraId="2DA58A4D" w14:textId="263D3BBE" w:rsidR="001671F2" w:rsidRPr="00252459" w:rsidRDefault="001671F2" w:rsidP="001671F2">
            <w:pPr>
              <w:jc w:val="both"/>
            </w:pPr>
            <w:r w:rsidRPr="00252459">
              <w:t>Ges.</w:t>
            </w:r>
          </w:p>
        </w:tc>
        <w:tc>
          <w:tcPr>
            <w:tcW w:w="821" w:type="dxa"/>
          </w:tcPr>
          <w:p w14:paraId="77E65E4F" w14:textId="1629A325" w:rsidR="001671F2" w:rsidRPr="00252459" w:rsidRDefault="001671F2" w:rsidP="001671F2">
            <w:pPr>
              <w:jc w:val="both"/>
            </w:pPr>
            <w:r w:rsidRPr="00252459">
              <w:t>w* (%)</w:t>
            </w:r>
          </w:p>
        </w:tc>
        <w:tc>
          <w:tcPr>
            <w:tcW w:w="822" w:type="dxa"/>
          </w:tcPr>
          <w:p w14:paraId="5BBCE419" w14:textId="566481FB" w:rsidR="001671F2" w:rsidRPr="00252459" w:rsidRDefault="001671F2" w:rsidP="001671F2">
            <w:pPr>
              <w:jc w:val="both"/>
            </w:pPr>
            <w:r w:rsidRPr="00252459">
              <w:t>Ges.</w:t>
            </w:r>
          </w:p>
        </w:tc>
        <w:tc>
          <w:tcPr>
            <w:tcW w:w="821" w:type="dxa"/>
          </w:tcPr>
          <w:p w14:paraId="78878665" w14:textId="68DB5538" w:rsidR="001671F2" w:rsidRPr="00252459" w:rsidRDefault="001671F2" w:rsidP="001671F2">
            <w:pPr>
              <w:jc w:val="both"/>
            </w:pPr>
            <w:r w:rsidRPr="00252459">
              <w:t>w* (%)</w:t>
            </w:r>
          </w:p>
        </w:tc>
        <w:tc>
          <w:tcPr>
            <w:tcW w:w="823" w:type="dxa"/>
          </w:tcPr>
          <w:p w14:paraId="023BBF71" w14:textId="416139C8" w:rsidR="001671F2" w:rsidRPr="00252459" w:rsidRDefault="001671F2" w:rsidP="001671F2">
            <w:pPr>
              <w:jc w:val="both"/>
            </w:pPr>
            <w:r w:rsidRPr="00252459">
              <w:t>Ges.</w:t>
            </w:r>
          </w:p>
        </w:tc>
        <w:tc>
          <w:tcPr>
            <w:tcW w:w="822" w:type="dxa"/>
          </w:tcPr>
          <w:p w14:paraId="492BF125" w14:textId="49F291D6" w:rsidR="001671F2" w:rsidRPr="00252459" w:rsidRDefault="001671F2" w:rsidP="001671F2">
            <w:pPr>
              <w:jc w:val="both"/>
            </w:pPr>
            <w:r w:rsidRPr="00252459">
              <w:t>w* (%)</w:t>
            </w:r>
          </w:p>
        </w:tc>
      </w:tr>
      <w:tr w:rsidR="009A06D3" w:rsidRPr="00252459" w14:paraId="18A41D84" w14:textId="77777777" w:rsidTr="009A06D3">
        <w:tc>
          <w:tcPr>
            <w:tcW w:w="1277" w:type="dxa"/>
          </w:tcPr>
          <w:p w14:paraId="6162239C" w14:textId="573E832B" w:rsidR="00EC10A6" w:rsidRPr="00252459" w:rsidRDefault="00EC10A6" w:rsidP="00EC10A6">
            <w:pPr>
              <w:jc w:val="both"/>
            </w:pPr>
            <w:r w:rsidRPr="00252459">
              <w:t>Prof</w:t>
            </w:r>
            <w:r w:rsidR="009A06D3" w:rsidRPr="00252459">
              <w:t>essuren</w:t>
            </w:r>
          </w:p>
        </w:tc>
        <w:tc>
          <w:tcPr>
            <w:tcW w:w="821" w:type="dxa"/>
          </w:tcPr>
          <w:p w14:paraId="0CFD1063" w14:textId="71A7A27A" w:rsidR="00EC10A6" w:rsidRPr="00252459" w:rsidRDefault="00EC10A6" w:rsidP="00EC10A6">
            <w:r w:rsidRPr="00252459">
              <w:t>9</w:t>
            </w:r>
          </w:p>
        </w:tc>
        <w:tc>
          <w:tcPr>
            <w:tcW w:w="822" w:type="dxa"/>
            <w:vAlign w:val="bottom"/>
          </w:tcPr>
          <w:p w14:paraId="636A4AFA" w14:textId="64F78530" w:rsidR="00EC10A6" w:rsidRPr="00252459" w:rsidRDefault="00EC10A6" w:rsidP="00EC10A6">
            <w:r w:rsidRPr="00252459">
              <w:t>2 (22,2)</w:t>
            </w:r>
          </w:p>
        </w:tc>
        <w:tc>
          <w:tcPr>
            <w:tcW w:w="821" w:type="dxa"/>
          </w:tcPr>
          <w:p w14:paraId="7FCB4EAE" w14:textId="1DF1A71B" w:rsidR="00EC10A6" w:rsidRPr="00252459" w:rsidRDefault="00EC10A6" w:rsidP="00EC10A6">
            <w:r w:rsidRPr="00252459">
              <w:t>11</w:t>
            </w:r>
          </w:p>
        </w:tc>
        <w:tc>
          <w:tcPr>
            <w:tcW w:w="821" w:type="dxa"/>
          </w:tcPr>
          <w:p w14:paraId="35965EB3" w14:textId="4660D9EE" w:rsidR="00EC10A6" w:rsidRPr="00252459" w:rsidRDefault="00EC10A6" w:rsidP="00EC10A6">
            <w:r w:rsidRPr="00252459">
              <w:t>4 (36,4)</w:t>
            </w:r>
          </w:p>
        </w:tc>
        <w:tc>
          <w:tcPr>
            <w:tcW w:w="822" w:type="dxa"/>
          </w:tcPr>
          <w:p w14:paraId="162507C5" w14:textId="2CF4417F" w:rsidR="00EC10A6" w:rsidRPr="00252459" w:rsidRDefault="00EC10A6" w:rsidP="00EC10A6">
            <w:r w:rsidRPr="00252459">
              <w:t>11</w:t>
            </w:r>
          </w:p>
        </w:tc>
        <w:tc>
          <w:tcPr>
            <w:tcW w:w="821" w:type="dxa"/>
          </w:tcPr>
          <w:p w14:paraId="64BBCBAC" w14:textId="2D29C217" w:rsidR="00EC10A6" w:rsidRPr="00252459" w:rsidRDefault="00EC10A6" w:rsidP="00EC10A6">
            <w:r w:rsidRPr="00252459">
              <w:t>3 (27,3)</w:t>
            </w:r>
          </w:p>
        </w:tc>
        <w:tc>
          <w:tcPr>
            <w:tcW w:w="822" w:type="dxa"/>
          </w:tcPr>
          <w:p w14:paraId="13816CBD" w14:textId="5076F9E7" w:rsidR="00EC10A6" w:rsidRPr="00252459" w:rsidRDefault="004F14A7" w:rsidP="00EC10A6">
            <w:r w:rsidRPr="00252459">
              <w:t>11</w:t>
            </w:r>
          </w:p>
        </w:tc>
        <w:tc>
          <w:tcPr>
            <w:tcW w:w="821" w:type="dxa"/>
          </w:tcPr>
          <w:p w14:paraId="67354DAC" w14:textId="287E3CB4" w:rsidR="00EC10A6" w:rsidRPr="00252459" w:rsidRDefault="004F14A7" w:rsidP="00EC10A6">
            <w:r w:rsidRPr="00252459">
              <w:t>3 (27,3)</w:t>
            </w:r>
          </w:p>
        </w:tc>
        <w:tc>
          <w:tcPr>
            <w:tcW w:w="823" w:type="dxa"/>
          </w:tcPr>
          <w:p w14:paraId="02F1B679" w14:textId="0595BC48" w:rsidR="00EC10A6" w:rsidRPr="00252459" w:rsidRDefault="004F14A7" w:rsidP="00EC10A6">
            <w:r w:rsidRPr="00252459">
              <w:t>11</w:t>
            </w:r>
          </w:p>
        </w:tc>
        <w:tc>
          <w:tcPr>
            <w:tcW w:w="822" w:type="dxa"/>
          </w:tcPr>
          <w:p w14:paraId="0DF20485" w14:textId="5B4BFC6D" w:rsidR="00EC10A6" w:rsidRPr="00252459" w:rsidRDefault="004F14A7" w:rsidP="00EC10A6">
            <w:r w:rsidRPr="00252459">
              <w:t>3 (27,3)</w:t>
            </w:r>
          </w:p>
        </w:tc>
      </w:tr>
      <w:tr w:rsidR="009A06D3" w:rsidRPr="00252459" w14:paraId="420B7492" w14:textId="77777777" w:rsidTr="009A06D3">
        <w:tc>
          <w:tcPr>
            <w:tcW w:w="1277" w:type="dxa"/>
          </w:tcPr>
          <w:p w14:paraId="399C11D9" w14:textId="50BC2010" w:rsidR="00EC10A6" w:rsidRPr="00252459" w:rsidRDefault="00EC10A6" w:rsidP="00EC10A6">
            <w:pPr>
              <w:jc w:val="both"/>
            </w:pPr>
            <w:r w:rsidRPr="00252459">
              <w:t>Gast-</w:t>
            </w:r>
            <w:r w:rsidR="009D2804" w:rsidRPr="00252459">
              <w:t>p</w:t>
            </w:r>
            <w:r w:rsidRPr="00252459">
              <w:t>rof</w:t>
            </w:r>
            <w:r w:rsidR="009A06D3" w:rsidRPr="00252459">
              <w:t>essuren</w:t>
            </w:r>
          </w:p>
        </w:tc>
        <w:tc>
          <w:tcPr>
            <w:tcW w:w="821" w:type="dxa"/>
          </w:tcPr>
          <w:p w14:paraId="33657724" w14:textId="6318ABCA" w:rsidR="00EC10A6" w:rsidRPr="00252459" w:rsidRDefault="00EC10A6" w:rsidP="00EC10A6">
            <w:r w:rsidRPr="00252459">
              <w:t>2</w:t>
            </w:r>
          </w:p>
        </w:tc>
        <w:tc>
          <w:tcPr>
            <w:tcW w:w="822" w:type="dxa"/>
          </w:tcPr>
          <w:p w14:paraId="21A67CA0" w14:textId="77777777" w:rsidR="00EC10A6" w:rsidRPr="00252459" w:rsidRDefault="00EC10A6" w:rsidP="00EC10A6">
            <w:r w:rsidRPr="00252459">
              <w:t xml:space="preserve">0 </w:t>
            </w:r>
          </w:p>
          <w:p w14:paraId="56987A97" w14:textId="6F2B3425" w:rsidR="00EC10A6" w:rsidRPr="00252459" w:rsidRDefault="00EC10A6" w:rsidP="00EC10A6">
            <w:r w:rsidRPr="00252459">
              <w:t>(0,0)</w:t>
            </w:r>
          </w:p>
        </w:tc>
        <w:tc>
          <w:tcPr>
            <w:tcW w:w="821" w:type="dxa"/>
          </w:tcPr>
          <w:p w14:paraId="32A3DCE1" w14:textId="0C954E70" w:rsidR="00EC10A6" w:rsidRPr="00252459" w:rsidRDefault="00EC10A6" w:rsidP="00EC10A6">
            <w:r w:rsidRPr="00252459">
              <w:t>2</w:t>
            </w:r>
          </w:p>
        </w:tc>
        <w:tc>
          <w:tcPr>
            <w:tcW w:w="821" w:type="dxa"/>
          </w:tcPr>
          <w:p w14:paraId="4436350F" w14:textId="77777777" w:rsidR="00EC10A6" w:rsidRPr="00252459" w:rsidRDefault="00EC10A6" w:rsidP="00EC10A6">
            <w:r w:rsidRPr="00252459">
              <w:t xml:space="preserve">1 </w:t>
            </w:r>
          </w:p>
          <w:p w14:paraId="535D7E67" w14:textId="6BF13B0A" w:rsidR="00EC10A6" w:rsidRPr="00252459" w:rsidRDefault="00EC10A6" w:rsidP="00EC10A6">
            <w:r w:rsidRPr="00252459">
              <w:t>(50,0)</w:t>
            </w:r>
          </w:p>
        </w:tc>
        <w:tc>
          <w:tcPr>
            <w:tcW w:w="822" w:type="dxa"/>
          </w:tcPr>
          <w:p w14:paraId="44C70704" w14:textId="3607AE85" w:rsidR="00EC10A6" w:rsidRPr="00252459" w:rsidRDefault="00EC10A6" w:rsidP="00EC10A6">
            <w:r w:rsidRPr="00252459">
              <w:t>1</w:t>
            </w:r>
          </w:p>
        </w:tc>
        <w:tc>
          <w:tcPr>
            <w:tcW w:w="821" w:type="dxa"/>
          </w:tcPr>
          <w:p w14:paraId="7F31AE51" w14:textId="77777777" w:rsidR="00EC10A6" w:rsidRPr="00252459" w:rsidRDefault="00EC10A6" w:rsidP="00EC10A6">
            <w:r w:rsidRPr="00252459">
              <w:t xml:space="preserve">0 </w:t>
            </w:r>
          </w:p>
          <w:p w14:paraId="2264F6E0" w14:textId="6F432D67" w:rsidR="00EC10A6" w:rsidRPr="00252459" w:rsidRDefault="00EC10A6" w:rsidP="00EC10A6">
            <w:r w:rsidRPr="00252459">
              <w:t>(0,0)</w:t>
            </w:r>
          </w:p>
        </w:tc>
        <w:tc>
          <w:tcPr>
            <w:tcW w:w="822" w:type="dxa"/>
          </w:tcPr>
          <w:p w14:paraId="165FC1B9" w14:textId="0DEB99FD" w:rsidR="00EC10A6" w:rsidRPr="00252459" w:rsidRDefault="004F14A7" w:rsidP="00EC10A6">
            <w:r w:rsidRPr="00252459">
              <w:t>2</w:t>
            </w:r>
          </w:p>
        </w:tc>
        <w:tc>
          <w:tcPr>
            <w:tcW w:w="821" w:type="dxa"/>
          </w:tcPr>
          <w:p w14:paraId="07A7270A" w14:textId="77777777" w:rsidR="00EC10A6" w:rsidRPr="00252459" w:rsidRDefault="004F14A7" w:rsidP="00EC10A6">
            <w:r w:rsidRPr="00252459">
              <w:t xml:space="preserve">0 </w:t>
            </w:r>
          </w:p>
          <w:p w14:paraId="7297A195" w14:textId="79653334" w:rsidR="004F14A7" w:rsidRPr="00252459" w:rsidRDefault="004F14A7" w:rsidP="00EC10A6">
            <w:r w:rsidRPr="00252459">
              <w:t>(0,0)</w:t>
            </w:r>
          </w:p>
        </w:tc>
        <w:tc>
          <w:tcPr>
            <w:tcW w:w="823" w:type="dxa"/>
          </w:tcPr>
          <w:p w14:paraId="3E1EC6FE" w14:textId="0D1FC2EF" w:rsidR="00EC10A6" w:rsidRPr="00252459" w:rsidRDefault="004F14A7" w:rsidP="00EC10A6">
            <w:r w:rsidRPr="00252459">
              <w:t>1</w:t>
            </w:r>
          </w:p>
        </w:tc>
        <w:tc>
          <w:tcPr>
            <w:tcW w:w="822" w:type="dxa"/>
          </w:tcPr>
          <w:p w14:paraId="587A8609" w14:textId="77777777" w:rsidR="00EC10A6" w:rsidRPr="00252459" w:rsidRDefault="004F14A7" w:rsidP="00EC10A6">
            <w:r w:rsidRPr="00252459">
              <w:t xml:space="preserve">0 </w:t>
            </w:r>
          </w:p>
          <w:p w14:paraId="3DC4CD79" w14:textId="089D25EA" w:rsidR="004F14A7" w:rsidRPr="00252459" w:rsidRDefault="004F14A7" w:rsidP="00EC10A6">
            <w:r w:rsidRPr="00252459">
              <w:t>(0,0)</w:t>
            </w:r>
          </w:p>
        </w:tc>
      </w:tr>
      <w:tr w:rsidR="009A06D3" w:rsidRPr="00252459" w14:paraId="34860727" w14:textId="77777777" w:rsidTr="009A06D3">
        <w:tc>
          <w:tcPr>
            <w:tcW w:w="1277" w:type="dxa"/>
          </w:tcPr>
          <w:p w14:paraId="0AB8F272" w14:textId="408F5819" w:rsidR="00EC10A6" w:rsidRPr="00252459" w:rsidRDefault="009A06D3" w:rsidP="00EC10A6">
            <w:pPr>
              <w:jc w:val="both"/>
            </w:pPr>
            <w:r w:rsidRPr="00252459">
              <w:t xml:space="preserve">Unbefristete </w:t>
            </w:r>
            <w:proofErr w:type="spellStart"/>
            <w:r w:rsidR="00EC10A6" w:rsidRPr="00252459">
              <w:t>WiMi</w:t>
            </w:r>
            <w:r w:rsidRPr="00252459">
              <w:t>s</w:t>
            </w:r>
            <w:proofErr w:type="spellEnd"/>
          </w:p>
        </w:tc>
        <w:tc>
          <w:tcPr>
            <w:tcW w:w="821" w:type="dxa"/>
          </w:tcPr>
          <w:p w14:paraId="7439C193" w14:textId="3BA13906" w:rsidR="00EC10A6" w:rsidRPr="00252459" w:rsidRDefault="00EC10A6" w:rsidP="00EC10A6">
            <w:r w:rsidRPr="00252459">
              <w:t>8</w:t>
            </w:r>
          </w:p>
        </w:tc>
        <w:tc>
          <w:tcPr>
            <w:tcW w:w="822" w:type="dxa"/>
            <w:vAlign w:val="bottom"/>
          </w:tcPr>
          <w:p w14:paraId="66C40D26" w14:textId="5DC229A5" w:rsidR="00EC10A6" w:rsidRPr="00252459" w:rsidRDefault="00EC10A6" w:rsidP="00EC10A6">
            <w:r w:rsidRPr="00252459">
              <w:t>1 (12,5)</w:t>
            </w:r>
          </w:p>
        </w:tc>
        <w:tc>
          <w:tcPr>
            <w:tcW w:w="821" w:type="dxa"/>
          </w:tcPr>
          <w:p w14:paraId="0A39689D" w14:textId="21F55B78" w:rsidR="00EC10A6" w:rsidRPr="00252459" w:rsidRDefault="00EC10A6" w:rsidP="00EC10A6">
            <w:r w:rsidRPr="00252459">
              <w:t>8</w:t>
            </w:r>
          </w:p>
        </w:tc>
        <w:tc>
          <w:tcPr>
            <w:tcW w:w="821" w:type="dxa"/>
          </w:tcPr>
          <w:p w14:paraId="576F0189" w14:textId="75886058" w:rsidR="00EC10A6" w:rsidRPr="00252459" w:rsidRDefault="00EC10A6" w:rsidP="00EC10A6">
            <w:r w:rsidRPr="00252459">
              <w:t>1 (12,5)</w:t>
            </w:r>
          </w:p>
        </w:tc>
        <w:tc>
          <w:tcPr>
            <w:tcW w:w="822" w:type="dxa"/>
          </w:tcPr>
          <w:p w14:paraId="589ACEF1" w14:textId="2FF95AD4" w:rsidR="00EC10A6" w:rsidRPr="00252459" w:rsidRDefault="00EC10A6" w:rsidP="00EC10A6">
            <w:r w:rsidRPr="00252459">
              <w:t>7</w:t>
            </w:r>
          </w:p>
        </w:tc>
        <w:tc>
          <w:tcPr>
            <w:tcW w:w="821" w:type="dxa"/>
          </w:tcPr>
          <w:p w14:paraId="4601DC27" w14:textId="6F8F2B4C" w:rsidR="00EC10A6" w:rsidRPr="00252459" w:rsidRDefault="00EC10A6" w:rsidP="00EC10A6">
            <w:r w:rsidRPr="00252459">
              <w:t>2 (28,6)</w:t>
            </w:r>
          </w:p>
        </w:tc>
        <w:tc>
          <w:tcPr>
            <w:tcW w:w="822" w:type="dxa"/>
          </w:tcPr>
          <w:p w14:paraId="50678D86" w14:textId="3A6A449B" w:rsidR="00EC10A6" w:rsidRPr="00252459" w:rsidRDefault="004F14A7" w:rsidP="00EC10A6">
            <w:r w:rsidRPr="00252459">
              <w:t>7</w:t>
            </w:r>
          </w:p>
        </w:tc>
        <w:tc>
          <w:tcPr>
            <w:tcW w:w="821" w:type="dxa"/>
          </w:tcPr>
          <w:p w14:paraId="2FAD20DA" w14:textId="7DFBFB04" w:rsidR="00EC10A6" w:rsidRPr="00252459" w:rsidRDefault="004F14A7" w:rsidP="00EC10A6">
            <w:r w:rsidRPr="00252459">
              <w:t>2 (28,6)</w:t>
            </w:r>
          </w:p>
        </w:tc>
        <w:tc>
          <w:tcPr>
            <w:tcW w:w="823" w:type="dxa"/>
          </w:tcPr>
          <w:p w14:paraId="1FD21680" w14:textId="0FC444C6" w:rsidR="00EC10A6" w:rsidRPr="00252459" w:rsidRDefault="004F14A7" w:rsidP="00EC10A6">
            <w:r w:rsidRPr="00252459">
              <w:t>7</w:t>
            </w:r>
          </w:p>
        </w:tc>
        <w:tc>
          <w:tcPr>
            <w:tcW w:w="822" w:type="dxa"/>
          </w:tcPr>
          <w:p w14:paraId="59B5F508" w14:textId="341A8014" w:rsidR="00EC10A6" w:rsidRPr="00252459" w:rsidRDefault="004F14A7" w:rsidP="00EC10A6">
            <w:r w:rsidRPr="00252459">
              <w:t>2 (28,6)</w:t>
            </w:r>
          </w:p>
        </w:tc>
      </w:tr>
      <w:tr w:rsidR="009A06D3" w:rsidRPr="00252459" w14:paraId="47BF21FA" w14:textId="77777777" w:rsidTr="009A06D3">
        <w:tc>
          <w:tcPr>
            <w:tcW w:w="1277" w:type="dxa"/>
          </w:tcPr>
          <w:p w14:paraId="6B0D0819" w14:textId="2CF705F2" w:rsidR="00EC10A6" w:rsidRPr="00252459" w:rsidRDefault="009A06D3" w:rsidP="00EC10A6">
            <w:pPr>
              <w:jc w:val="both"/>
            </w:pPr>
            <w:r w:rsidRPr="00252459">
              <w:t xml:space="preserve">Befristete </w:t>
            </w:r>
            <w:proofErr w:type="spellStart"/>
            <w:r w:rsidR="00EC10A6" w:rsidRPr="00252459">
              <w:t>WiMi</w:t>
            </w:r>
            <w:r w:rsidRPr="00252459">
              <w:t>s</w:t>
            </w:r>
            <w:proofErr w:type="spellEnd"/>
          </w:p>
        </w:tc>
        <w:tc>
          <w:tcPr>
            <w:tcW w:w="821" w:type="dxa"/>
          </w:tcPr>
          <w:p w14:paraId="6DFC9B4B" w14:textId="6B19D5F3" w:rsidR="00EC10A6" w:rsidRPr="00252459" w:rsidRDefault="00EC10A6" w:rsidP="00EC10A6">
            <w:r w:rsidRPr="00252459">
              <w:t>29</w:t>
            </w:r>
          </w:p>
        </w:tc>
        <w:tc>
          <w:tcPr>
            <w:tcW w:w="822" w:type="dxa"/>
            <w:vAlign w:val="bottom"/>
          </w:tcPr>
          <w:p w14:paraId="0EDE81F6" w14:textId="646D44C7" w:rsidR="00EC10A6" w:rsidRPr="00252459" w:rsidRDefault="00EC10A6" w:rsidP="00EC10A6">
            <w:r w:rsidRPr="00252459">
              <w:t>15 (51,7)</w:t>
            </w:r>
          </w:p>
        </w:tc>
        <w:tc>
          <w:tcPr>
            <w:tcW w:w="821" w:type="dxa"/>
          </w:tcPr>
          <w:p w14:paraId="092C7BA2" w14:textId="6BF54D63" w:rsidR="00EC10A6" w:rsidRPr="00252459" w:rsidRDefault="00EC10A6" w:rsidP="00EC10A6">
            <w:r w:rsidRPr="00252459">
              <w:t>32</w:t>
            </w:r>
          </w:p>
        </w:tc>
        <w:tc>
          <w:tcPr>
            <w:tcW w:w="821" w:type="dxa"/>
          </w:tcPr>
          <w:p w14:paraId="0A8FB159" w14:textId="2D8EFE46" w:rsidR="00EC10A6" w:rsidRPr="00252459" w:rsidRDefault="00EC10A6" w:rsidP="00EC10A6">
            <w:r w:rsidRPr="00252459">
              <w:t>14 (43,8)</w:t>
            </w:r>
          </w:p>
        </w:tc>
        <w:tc>
          <w:tcPr>
            <w:tcW w:w="822" w:type="dxa"/>
          </w:tcPr>
          <w:p w14:paraId="33A502CD" w14:textId="6C586B8E" w:rsidR="00EC10A6" w:rsidRPr="00252459" w:rsidRDefault="00EC10A6" w:rsidP="00EC10A6">
            <w:r w:rsidRPr="00252459">
              <w:t>31</w:t>
            </w:r>
          </w:p>
        </w:tc>
        <w:tc>
          <w:tcPr>
            <w:tcW w:w="821" w:type="dxa"/>
          </w:tcPr>
          <w:p w14:paraId="45935F59" w14:textId="24079211" w:rsidR="00EC10A6" w:rsidRPr="00252459" w:rsidRDefault="00EC10A6" w:rsidP="00EC10A6">
            <w:r w:rsidRPr="00252459">
              <w:t>17 (54,8)</w:t>
            </w:r>
          </w:p>
        </w:tc>
        <w:tc>
          <w:tcPr>
            <w:tcW w:w="822" w:type="dxa"/>
          </w:tcPr>
          <w:p w14:paraId="41BDC621" w14:textId="29924232" w:rsidR="00EC10A6" w:rsidRPr="00252459" w:rsidRDefault="004F14A7" w:rsidP="00EC10A6">
            <w:r w:rsidRPr="00252459">
              <w:t>34</w:t>
            </w:r>
          </w:p>
        </w:tc>
        <w:tc>
          <w:tcPr>
            <w:tcW w:w="821" w:type="dxa"/>
          </w:tcPr>
          <w:p w14:paraId="2866AFF0" w14:textId="5FF77A2D" w:rsidR="00EC10A6" w:rsidRPr="00252459" w:rsidRDefault="004F14A7" w:rsidP="00EC10A6">
            <w:r w:rsidRPr="00252459">
              <w:t>17 (50,0)</w:t>
            </w:r>
          </w:p>
        </w:tc>
        <w:tc>
          <w:tcPr>
            <w:tcW w:w="823" w:type="dxa"/>
          </w:tcPr>
          <w:p w14:paraId="06785CC3" w14:textId="3EED854E" w:rsidR="00EC10A6" w:rsidRPr="00252459" w:rsidRDefault="004F14A7" w:rsidP="00EC10A6">
            <w:r w:rsidRPr="00252459">
              <w:t>39</w:t>
            </w:r>
          </w:p>
        </w:tc>
        <w:tc>
          <w:tcPr>
            <w:tcW w:w="822" w:type="dxa"/>
          </w:tcPr>
          <w:p w14:paraId="528B5EC2" w14:textId="592104ED" w:rsidR="00EC10A6" w:rsidRPr="00252459" w:rsidRDefault="004F14A7" w:rsidP="00EC10A6">
            <w:r w:rsidRPr="00252459">
              <w:t>21 (53,8)</w:t>
            </w:r>
          </w:p>
        </w:tc>
      </w:tr>
      <w:tr w:rsidR="009A06D3" w:rsidRPr="00252459" w14:paraId="08677EDD" w14:textId="77777777" w:rsidTr="009A06D3">
        <w:tc>
          <w:tcPr>
            <w:tcW w:w="1277" w:type="dxa"/>
          </w:tcPr>
          <w:p w14:paraId="0A874412" w14:textId="7DA5D577" w:rsidR="00EC10A6" w:rsidRPr="00252459" w:rsidRDefault="00EC10A6" w:rsidP="00EC10A6">
            <w:pPr>
              <w:jc w:val="both"/>
            </w:pPr>
            <w:r w:rsidRPr="00252459">
              <w:t>S</w:t>
            </w:r>
            <w:r w:rsidR="009A06D3" w:rsidRPr="00252459">
              <w:t>tudentische Mitarbeitende</w:t>
            </w:r>
          </w:p>
        </w:tc>
        <w:tc>
          <w:tcPr>
            <w:tcW w:w="821" w:type="dxa"/>
          </w:tcPr>
          <w:p w14:paraId="024B2EA0" w14:textId="485382A9" w:rsidR="00EC10A6" w:rsidRPr="00252459" w:rsidRDefault="00EC10A6" w:rsidP="00EC10A6">
            <w:r w:rsidRPr="00252459">
              <w:t>38</w:t>
            </w:r>
          </w:p>
        </w:tc>
        <w:tc>
          <w:tcPr>
            <w:tcW w:w="822" w:type="dxa"/>
            <w:vAlign w:val="bottom"/>
          </w:tcPr>
          <w:p w14:paraId="19485990" w14:textId="61B10F29" w:rsidR="00EC10A6" w:rsidRPr="00252459" w:rsidRDefault="00EC10A6" w:rsidP="00EC10A6">
            <w:r w:rsidRPr="00252459">
              <w:t>24 (63,2)</w:t>
            </w:r>
          </w:p>
        </w:tc>
        <w:tc>
          <w:tcPr>
            <w:tcW w:w="821" w:type="dxa"/>
          </w:tcPr>
          <w:p w14:paraId="07A0ADF4" w14:textId="3F6752D9" w:rsidR="00EC10A6" w:rsidRPr="00252459" w:rsidRDefault="00EC10A6" w:rsidP="00EC10A6">
            <w:r w:rsidRPr="00252459">
              <w:t>41</w:t>
            </w:r>
          </w:p>
        </w:tc>
        <w:tc>
          <w:tcPr>
            <w:tcW w:w="821" w:type="dxa"/>
          </w:tcPr>
          <w:p w14:paraId="3A3E1C71" w14:textId="38B68C79" w:rsidR="00EC10A6" w:rsidRPr="00252459" w:rsidRDefault="00EC10A6" w:rsidP="00EC10A6">
            <w:r w:rsidRPr="00252459">
              <w:t>27 (65,9)</w:t>
            </w:r>
          </w:p>
        </w:tc>
        <w:tc>
          <w:tcPr>
            <w:tcW w:w="822" w:type="dxa"/>
          </w:tcPr>
          <w:p w14:paraId="4EE0A7E3" w14:textId="047A29AD" w:rsidR="00EC10A6" w:rsidRPr="00252459" w:rsidRDefault="00EC10A6" w:rsidP="00EC10A6">
            <w:r w:rsidRPr="00252459">
              <w:t>39</w:t>
            </w:r>
          </w:p>
        </w:tc>
        <w:tc>
          <w:tcPr>
            <w:tcW w:w="821" w:type="dxa"/>
          </w:tcPr>
          <w:p w14:paraId="7BD5FABB" w14:textId="11F8A3F9" w:rsidR="00EC10A6" w:rsidRPr="00252459" w:rsidRDefault="00EC10A6" w:rsidP="00EC10A6">
            <w:r w:rsidRPr="00252459">
              <w:t>25 (64,1)</w:t>
            </w:r>
          </w:p>
        </w:tc>
        <w:tc>
          <w:tcPr>
            <w:tcW w:w="822" w:type="dxa"/>
          </w:tcPr>
          <w:p w14:paraId="5B00D669" w14:textId="71E5F9C8" w:rsidR="00EC10A6" w:rsidRPr="00252459" w:rsidRDefault="004F14A7" w:rsidP="00EC10A6">
            <w:r w:rsidRPr="00252459">
              <w:t>43</w:t>
            </w:r>
          </w:p>
        </w:tc>
        <w:tc>
          <w:tcPr>
            <w:tcW w:w="821" w:type="dxa"/>
          </w:tcPr>
          <w:p w14:paraId="4A2E6B5C" w14:textId="23066195" w:rsidR="00EC10A6" w:rsidRPr="00252459" w:rsidRDefault="004F14A7" w:rsidP="00EC10A6">
            <w:r w:rsidRPr="00252459">
              <w:t>29 (67,4)</w:t>
            </w:r>
          </w:p>
        </w:tc>
        <w:tc>
          <w:tcPr>
            <w:tcW w:w="823" w:type="dxa"/>
          </w:tcPr>
          <w:p w14:paraId="71D993DE" w14:textId="00AD1326" w:rsidR="00EC10A6" w:rsidRPr="00252459" w:rsidRDefault="004F14A7" w:rsidP="00EC10A6">
            <w:r w:rsidRPr="00252459">
              <w:t>41</w:t>
            </w:r>
          </w:p>
        </w:tc>
        <w:tc>
          <w:tcPr>
            <w:tcW w:w="822" w:type="dxa"/>
          </w:tcPr>
          <w:p w14:paraId="430A979F" w14:textId="5B550A0B" w:rsidR="00EC10A6" w:rsidRPr="00252459" w:rsidRDefault="004F14A7" w:rsidP="00EC10A6">
            <w:r w:rsidRPr="00252459">
              <w:t>27 (65,9)</w:t>
            </w:r>
          </w:p>
        </w:tc>
      </w:tr>
      <w:tr w:rsidR="009A06D3" w:rsidRPr="00252459" w14:paraId="304C302D" w14:textId="77777777" w:rsidTr="009A06D3">
        <w:tc>
          <w:tcPr>
            <w:tcW w:w="1277" w:type="dxa"/>
          </w:tcPr>
          <w:p w14:paraId="131C7B4E" w14:textId="522B5694" w:rsidR="00EC10A6" w:rsidRPr="00252459" w:rsidRDefault="00EC10A6" w:rsidP="00EC10A6">
            <w:pPr>
              <w:jc w:val="both"/>
            </w:pPr>
            <w:r w:rsidRPr="00252459">
              <w:t>MTSV</w:t>
            </w:r>
          </w:p>
        </w:tc>
        <w:tc>
          <w:tcPr>
            <w:tcW w:w="821" w:type="dxa"/>
          </w:tcPr>
          <w:p w14:paraId="46B31A61" w14:textId="40903E77" w:rsidR="00EC10A6" w:rsidRPr="00252459" w:rsidRDefault="00EC10A6" w:rsidP="00EC10A6">
            <w:r w:rsidRPr="00252459">
              <w:t>15</w:t>
            </w:r>
          </w:p>
        </w:tc>
        <w:tc>
          <w:tcPr>
            <w:tcW w:w="822" w:type="dxa"/>
            <w:vAlign w:val="bottom"/>
          </w:tcPr>
          <w:p w14:paraId="6007DA2C" w14:textId="590A0C85" w:rsidR="00EC10A6" w:rsidRPr="00252459" w:rsidRDefault="00EC10A6" w:rsidP="00EC10A6">
            <w:r w:rsidRPr="00252459">
              <w:t>13 (86,7)</w:t>
            </w:r>
          </w:p>
        </w:tc>
        <w:tc>
          <w:tcPr>
            <w:tcW w:w="821" w:type="dxa"/>
          </w:tcPr>
          <w:p w14:paraId="2849A925" w14:textId="4DA3D2B2" w:rsidR="00EC10A6" w:rsidRPr="00252459" w:rsidRDefault="00EC10A6" w:rsidP="00EC10A6">
            <w:r w:rsidRPr="00252459">
              <w:t>15</w:t>
            </w:r>
          </w:p>
        </w:tc>
        <w:tc>
          <w:tcPr>
            <w:tcW w:w="821" w:type="dxa"/>
          </w:tcPr>
          <w:p w14:paraId="2CEABE25" w14:textId="22A500D7" w:rsidR="00EC10A6" w:rsidRPr="00252459" w:rsidRDefault="00EC10A6" w:rsidP="00EC10A6">
            <w:r w:rsidRPr="00252459">
              <w:t>12 (80,0)</w:t>
            </w:r>
          </w:p>
        </w:tc>
        <w:tc>
          <w:tcPr>
            <w:tcW w:w="822" w:type="dxa"/>
          </w:tcPr>
          <w:p w14:paraId="448D52C7" w14:textId="3284F2B0" w:rsidR="00EC10A6" w:rsidRPr="00252459" w:rsidRDefault="00EC10A6" w:rsidP="00EC10A6">
            <w:r w:rsidRPr="00252459">
              <w:t>18</w:t>
            </w:r>
          </w:p>
        </w:tc>
        <w:tc>
          <w:tcPr>
            <w:tcW w:w="821" w:type="dxa"/>
          </w:tcPr>
          <w:p w14:paraId="7CAD851D" w14:textId="7DD312D5" w:rsidR="00EC10A6" w:rsidRPr="00252459" w:rsidRDefault="00EC10A6" w:rsidP="00EC10A6">
            <w:r w:rsidRPr="00252459">
              <w:t>12 (66,7)</w:t>
            </w:r>
          </w:p>
        </w:tc>
        <w:tc>
          <w:tcPr>
            <w:tcW w:w="822" w:type="dxa"/>
          </w:tcPr>
          <w:p w14:paraId="27D8AE29" w14:textId="43778714" w:rsidR="00EC10A6" w:rsidRPr="00252459" w:rsidRDefault="004F14A7" w:rsidP="00EC10A6">
            <w:r w:rsidRPr="00252459">
              <w:t>20</w:t>
            </w:r>
          </w:p>
        </w:tc>
        <w:tc>
          <w:tcPr>
            <w:tcW w:w="821" w:type="dxa"/>
          </w:tcPr>
          <w:p w14:paraId="3E9E21DA" w14:textId="7CA2FBE8" w:rsidR="00EC10A6" w:rsidRPr="00252459" w:rsidRDefault="004F14A7" w:rsidP="00EC10A6">
            <w:r w:rsidRPr="00252459">
              <w:t>16 (80,0)</w:t>
            </w:r>
          </w:p>
        </w:tc>
        <w:tc>
          <w:tcPr>
            <w:tcW w:w="823" w:type="dxa"/>
          </w:tcPr>
          <w:p w14:paraId="5385828F" w14:textId="0A3E22BF" w:rsidR="00EC10A6" w:rsidRPr="00252459" w:rsidRDefault="004F14A7" w:rsidP="00EC10A6">
            <w:r w:rsidRPr="00252459">
              <w:t>17</w:t>
            </w:r>
          </w:p>
        </w:tc>
        <w:tc>
          <w:tcPr>
            <w:tcW w:w="822" w:type="dxa"/>
          </w:tcPr>
          <w:p w14:paraId="43EE8409" w14:textId="21D11063" w:rsidR="00EC10A6" w:rsidRPr="00252459" w:rsidRDefault="004F14A7" w:rsidP="00EC10A6">
            <w:r w:rsidRPr="00252459">
              <w:t>14 (82,4)</w:t>
            </w:r>
          </w:p>
        </w:tc>
      </w:tr>
    </w:tbl>
    <w:p w14:paraId="4B535E80" w14:textId="77777777" w:rsidR="00014FD7" w:rsidRPr="00252459" w:rsidRDefault="00014FD7" w:rsidP="008F6DF6">
      <w:pPr>
        <w:jc w:val="both"/>
      </w:pPr>
    </w:p>
    <w:p w14:paraId="2E9B4EE0" w14:textId="2B54C9B2" w:rsidR="00D46F65" w:rsidRPr="00252459" w:rsidRDefault="009A06D3" w:rsidP="00510E2B">
      <w:pPr>
        <w:spacing w:line="276" w:lineRule="auto"/>
        <w:jc w:val="both"/>
      </w:pPr>
      <w:r w:rsidRPr="00252459">
        <w:t xml:space="preserve">In den letzten drei Jahren blieb die Zahl der Professuren unverändert bei elf. Davon waren drei </w:t>
      </w:r>
      <w:r w:rsidR="00F46E9D" w:rsidRPr="00252459">
        <w:t xml:space="preserve">Professuren </w:t>
      </w:r>
      <w:r w:rsidR="008303D9" w:rsidRPr="00252459">
        <w:t xml:space="preserve">mit als weiblich gelesenen Personen besetzt, was einem Anteil von 27,3% entspricht. Im Jahr 2020 lag der Anteil bei 36,4%, im Jahr 2019 bei 22,2%. </w:t>
      </w:r>
      <w:r w:rsidR="009D2804" w:rsidRPr="00252459">
        <w:t xml:space="preserve">Lediglich im Jahr 2020 gab es eine mit einer als weiblich gelesenen Person besetze Gastprofessur. </w:t>
      </w:r>
    </w:p>
    <w:p w14:paraId="1B101962" w14:textId="4F00FB19" w:rsidR="009D2804" w:rsidRPr="00252459" w:rsidRDefault="009D2804" w:rsidP="00510E2B">
      <w:pPr>
        <w:spacing w:line="276" w:lineRule="auto"/>
        <w:jc w:val="both"/>
      </w:pPr>
      <w:r w:rsidRPr="00252459">
        <w:t xml:space="preserve">Unter den unbefristeten Wissenschaftlichen Mitarbeitenden gab es bis 2020 nur eine, ab 2021 zwei als weiblich gelesene Personen, was einem Anteil von 12,5% bzw. 28,6% entspricht. </w:t>
      </w:r>
    </w:p>
    <w:p w14:paraId="6FB2B9AF" w14:textId="3AA27640" w:rsidR="009D2804" w:rsidRPr="00252459" w:rsidRDefault="009D2804" w:rsidP="00510E2B">
      <w:pPr>
        <w:spacing w:line="276" w:lineRule="auto"/>
        <w:jc w:val="both"/>
      </w:pPr>
      <w:r w:rsidRPr="00252459">
        <w:t xml:space="preserve">Anders als die über die Berichtszeiträume relativ konstant gebliebene Zahl der befristeten Wissenschaftlichen Mitarbeitenden (acht bzw. sieben), steigt die Zahl der unbefristeten über die Berichtszeiträume hinweg insgesamt an. </w:t>
      </w:r>
      <w:r w:rsidR="0005358C" w:rsidRPr="00252459">
        <w:t>Diese Stellen sind in etwa paritätisch</w:t>
      </w:r>
      <w:r w:rsidR="00F46E9D" w:rsidRPr="00252459">
        <w:t xml:space="preserve"> nach Geschlecht</w:t>
      </w:r>
      <w:r w:rsidR="0005358C" w:rsidRPr="00252459">
        <w:t xml:space="preserve"> besetzt. </w:t>
      </w:r>
    </w:p>
    <w:p w14:paraId="35ED1D29" w14:textId="3B9404B2" w:rsidR="0005358C" w:rsidRPr="00252459" w:rsidRDefault="0005358C" w:rsidP="00510E2B">
      <w:pPr>
        <w:spacing w:line="276" w:lineRule="auto"/>
        <w:jc w:val="both"/>
      </w:pPr>
      <w:r w:rsidRPr="00252459">
        <w:t xml:space="preserve">Bei den Studentischen Mitarbeitenden liegt der Anteil der als weiblich gelesenen Personen bei fast zwei Dritteln – und entspricht damit ungefähr dem Anteil </w:t>
      </w:r>
      <w:r w:rsidR="00BF76DE" w:rsidRPr="00252459">
        <w:t xml:space="preserve">der als weiblich gelesenen Personen </w:t>
      </w:r>
      <w:r w:rsidRPr="00252459">
        <w:t xml:space="preserve">unter den </w:t>
      </w:r>
      <w:r w:rsidRPr="00252459">
        <w:lastRenderedPageBreak/>
        <w:t>Studierenden der Fakultät</w:t>
      </w:r>
      <w:r w:rsidR="00BF76DE" w:rsidRPr="00252459">
        <w:t xml:space="preserve"> insgesamt</w:t>
      </w:r>
      <w:r w:rsidRPr="00252459">
        <w:t xml:space="preserve">. </w:t>
      </w:r>
    </w:p>
    <w:p w14:paraId="2C902612" w14:textId="470912C1" w:rsidR="0005358C" w:rsidRPr="00252459" w:rsidRDefault="0005358C" w:rsidP="00510E2B">
      <w:pPr>
        <w:spacing w:line="276" w:lineRule="auto"/>
        <w:jc w:val="both"/>
      </w:pPr>
      <w:r w:rsidRPr="00252459">
        <w:t xml:space="preserve">Unter den Mitarbeitenden der Statusgruppe MTSV ist der Anteil der als weiblich gelesenen Personen mit Abstand am höchsten. </w:t>
      </w:r>
    </w:p>
    <w:p w14:paraId="0529CB9D" w14:textId="77777777" w:rsidR="00D52017" w:rsidRPr="00252459" w:rsidRDefault="00D52017" w:rsidP="00510E2B">
      <w:pPr>
        <w:spacing w:line="276" w:lineRule="auto"/>
        <w:jc w:val="both"/>
        <w:rPr>
          <w:bCs/>
          <w:i/>
          <w:iCs/>
        </w:rPr>
      </w:pPr>
    </w:p>
    <w:p w14:paraId="3A6DD0F4" w14:textId="1FF7EC1D" w:rsidR="00F46E9D" w:rsidRPr="00252459" w:rsidRDefault="00F46E9D" w:rsidP="00510E2B">
      <w:pPr>
        <w:spacing w:line="276" w:lineRule="auto"/>
        <w:jc w:val="both"/>
        <w:rPr>
          <w:bCs/>
        </w:rPr>
      </w:pPr>
      <w:r w:rsidRPr="00252459">
        <w:rPr>
          <w:bCs/>
          <w:i/>
          <w:iCs/>
        </w:rPr>
        <w:t>An der Theologischen Fakultät liegt der Anteil der mit als weiblich gelesenen Personen besetzten Professuren unter dem Durchschnittswert der Humboldt-Universität zu Berlin.</w:t>
      </w:r>
      <w:r w:rsidR="001914A1" w:rsidRPr="00252459">
        <w:rPr>
          <w:bCs/>
          <w:i/>
          <w:iCs/>
        </w:rPr>
        <w:t xml:space="preserve"> </w:t>
      </w:r>
      <w:r w:rsidR="00510E2B" w:rsidRPr="00252459">
        <w:rPr>
          <w:bCs/>
        </w:rPr>
        <w:t>Vor diesem Hintergrund setzt die oben genannte Neuprofilierung der Professur für Dogmatik mit einem Schwerpunkt in Gender Studies ein wichtiges Zeichen.</w:t>
      </w:r>
    </w:p>
    <w:p w14:paraId="21F5E68D" w14:textId="529679E6" w:rsidR="00F46E9D" w:rsidRPr="00252459" w:rsidRDefault="00F46E9D" w:rsidP="00510E2B">
      <w:pPr>
        <w:spacing w:line="276" w:lineRule="auto"/>
        <w:jc w:val="both"/>
        <w:rPr>
          <w:bCs/>
          <w:i/>
          <w:iCs/>
        </w:rPr>
      </w:pPr>
      <w:r w:rsidRPr="00252459">
        <w:rPr>
          <w:bCs/>
          <w:i/>
          <w:iCs/>
        </w:rPr>
        <w:t>Der Anteil der als weiblich gelesenen Personen</w:t>
      </w:r>
      <w:r w:rsidR="00BF76DE" w:rsidRPr="00252459">
        <w:rPr>
          <w:bCs/>
          <w:i/>
          <w:iCs/>
        </w:rPr>
        <w:t xml:space="preserve"> unter den</w:t>
      </w:r>
      <w:r w:rsidRPr="00252459">
        <w:rPr>
          <w:bCs/>
          <w:i/>
          <w:iCs/>
        </w:rPr>
        <w:t xml:space="preserve"> unbefristeten Wissenschaftlichen Mitarbeitenden liegt deutlich unter, bei den befristeten </w:t>
      </w:r>
      <w:r w:rsidR="00BF76DE" w:rsidRPr="00252459">
        <w:rPr>
          <w:bCs/>
          <w:i/>
          <w:iCs/>
        </w:rPr>
        <w:t xml:space="preserve">Wissenschaftlichen Mitarbeitenden </w:t>
      </w:r>
      <w:r w:rsidRPr="00252459">
        <w:rPr>
          <w:bCs/>
          <w:i/>
          <w:iCs/>
        </w:rPr>
        <w:t xml:space="preserve">etwas über dem universitätsweiten Durchschnitt. </w:t>
      </w:r>
    </w:p>
    <w:p w14:paraId="4A25E87C" w14:textId="03B061D6" w:rsidR="00F46E9D" w:rsidRPr="00252459" w:rsidRDefault="00F46E9D" w:rsidP="00510E2B">
      <w:pPr>
        <w:spacing w:line="276" w:lineRule="auto"/>
        <w:jc w:val="both"/>
        <w:rPr>
          <w:bCs/>
          <w:i/>
          <w:iCs/>
        </w:rPr>
      </w:pPr>
      <w:r w:rsidRPr="00252459">
        <w:rPr>
          <w:bCs/>
          <w:i/>
          <w:iCs/>
        </w:rPr>
        <w:t xml:space="preserve">Bei den Studentischen Mitarbeitenden ist der Wert an der Fakultät durchgängig höher als an der Humboldt-Universität insgesamt – bei der Statusgruppe der MTSV sogar deutlich. </w:t>
      </w:r>
    </w:p>
    <w:p w14:paraId="6E475359" w14:textId="77777777" w:rsidR="00D52017" w:rsidRPr="00252459" w:rsidRDefault="00D52017" w:rsidP="00510E2B">
      <w:pPr>
        <w:spacing w:line="276" w:lineRule="auto"/>
        <w:jc w:val="both"/>
      </w:pPr>
    </w:p>
    <w:p w14:paraId="152CFC7C" w14:textId="441B8197" w:rsidR="0005358C" w:rsidRPr="00252459" w:rsidRDefault="001E52F6" w:rsidP="00510E2B">
      <w:pPr>
        <w:spacing w:line="276" w:lineRule="auto"/>
        <w:jc w:val="both"/>
      </w:pPr>
      <w:r w:rsidRPr="00252459">
        <w:t xml:space="preserve">Für die Humboldt-Universität insgesamt entwickelte sich der Anteil der </w:t>
      </w:r>
      <w:r w:rsidR="00BF76DE" w:rsidRPr="00252459">
        <w:t xml:space="preserve">mit </w:t>
      </w:r>
      <w:r w:rsidRPr="00252459">
        <w:t>als weiblich gelesene</w:t>
      </w:r>
      <w:r w:rsidR="00BF76DE" w:rsidRPr="00252459">
        <w:t>n</w:t>
      </w:r>
      <w:r w:rsidRPr="00252459">
        <w:t xml:space="preserve"> Personen besetzte Professuren von anfangs etwa einem Drittel auf fast 40% im Jahr 2023. </w:t>
      </w:r>
    </w:p>
    <w:p w14:paraId="10518B9E" w14:textId="2F1C9195" w:rsidR="00F62979" w:rsidRPr="00252459" w:rsidRDefault="00690846" w:rsidP="00510E2B">
      <w:pPr>
        <w:spacing w:line="276" w:lineRule="auto"/>
        <w:jc w:val="both"/>
      </w:pPr>
      <w:r w:rsidRPr="00252459">
        <w:t xml:space="preserve">In der Statusgruppe der Wissenschaftlichen Mitarbeitenden liegt der Anteil der als weiblich gelesenen Personen mit einem unbefristeten Beschäftigungsverhältnis an der Humboldt-Universität insgesamt bei etwas über, mit einem befristeten etwas unter 50%. </w:t>
      </w:r>
    </w:p>
    <w:p w14:paraId="20EE7FC9" w14:textId="2E19BFC5" w:rsidR="00F62979" w:rsidRPr="00252459" w:rsidRDefault="00803EC5" w:rsidP="00510E2B">
      <w:pPr>
        <w:spacing w:line="276" w:lineRule="auto"/>
        <w:jc w:val="both"/>
      </w:pPr>
      <w:r w:rsidRPr="00252459">
        <w:t xml:space="preserve">Bei den Studentischen Mitarbeitenden der Humboldt-Universität zu Berlin insgesamt liegt der Anteil der als weiblich gelesenen Personen über die Berichtszeiträume hinweg bei etwa 60%. </w:t>
      </w:r>
    </w:p>
    <w:p w14:paraId="6DC7423B" w14:textId="6BD0AA07" w:rsidR="00F62979" w:rsidRDefault="00803EC5" w:rsidP="00510E2B">
      <w:pPr>
        <w:spacing w:line="276" w:lineRule="auto"/>
        <w:jc w:val="both"/>
      </w:pPr>
      <w:r w:rsidRPr="00252459">
        <w:t>Unter der Statusgruppe der MTSV beträgt der Anteil der als weiblich gelesenen Personen etwa zwei Drittel.</w:t>
      </w:r>
      <w:r>
        <w:t xml:space="preserve"> </w:t>
      </w:r>
    </w:p>
    <w:p w14:paraId="3AEA4C81" w14:textId="77777777" w:rsidR="00F62979" w:rsidRDefault="00F62979" w:rsidP="00510E2B">
      <w:pPr>
        <w:spacing w:line="276" w:lineRule="auto"/>
      </w:pPr>
    </w:p>
    <w:p w14:paraId="2E1351F6" w14:textId="77777777" w:rsidR="00F62979" w:rsidRDefault="00F62979" w:rsidP="00AC70F1"/>
    <w:p w14:paraId="40EAA386" w14:textId="77777777" w:rsidR="00F62979" w:rsidRDefault="00F62979" w:rsidP="00AC70F1"/>
    <w:p w14:paraId="169D1248" w14:textId="77777777" w:rsidR="00F62979" w:rsidRDefault="00F62979" w:rsidP="00AC70F1"/>
    <w:p w14:paraId="09C94DB8" w14:textId="77777777" w:rsidR="00F62979" w:rsidRPr="00AC70F1" w:rsidRDefault="00F62979" w:rsidP="00AC70F1"/>
    <w:sectPr w:rsidR="00F62979" w:rsidRPr="00AC70F1" w:rsidSect="0085508D">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0F3F" w14:textId="77777777" w:rsidR="002A73E9" w:rsidRDefault="002A73E9" w:rsidP="00AC70F1">
      <w:r>
        <w:separator/>
      </w:r>
    </w:p>
  </w:endnote>
  <w:endnote w:type="continuationSeparator" w:id="0">
    <w:p w14:paraId="78429113" w14:textId="77777777" w:rsidR="002A73E9" w:rsidRDefault="002A73E9" w:rsidP="00AC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81A66" w14:textId="77777777" w:rsidR="002A73E9" w:rsidRDefault="002A73E9" w:rsidP="00AC70F1">
      <w:r>
        <w:separator/>
      </w:r>
    </w:p>
  </w:footnote>
  <w:footnote w:type="continuationSeparator" w:id="0">
    <w:p w14:paraId="69238DA9" w14:textId="77777777" w:rsidR="002A73E9" w:rsidRDefault="002A73E9" w:rsidP="00AC70F1">
      <w:r>
        <w:continuationSeparator/>
      </w:r>
    </w:p>
  </w:footnote>
  <w:footnote w:id="1">
    <w:p w14:paraId="101B1F26" w14:textId="77777777" w:rsidR="00AC70F1" w:rsidRPr="00252459" w:rsidRDefault="00AC70F1" w:rsidP="00AC70F1">
      <w:pPr>
        <w:pStyle w:val="Funotentext"/>
      </w:pPr>
      <w:r w:rsidRPr="00252459">
        <w:rPr>
          <w:rStyle w:val="Funotenzeichen"/>
        </w:rPr>
        <w:footnoteRef/>
      </w:r>
      <w:r w:rsidRPr="00252459">
        <w:t xml:space="preserve"> https://frauenbeauftragte.hu-berlin.de/de/informationen/geschlechtergerechte-sprache/leitfaden-geschlechtergerechte-sprache-humboldt.pdf.</w:t>
      </w:r>
    </w:p>
  </w:footnote>
  <w:footnote w:id="2">
    <w:p w14:paraId="7B86A9C7" w14:textId="77777777" w:rsidR="00AC70F1" w:rsidRPr="00252459" w:rsidRDefault="00AC70F1" w:rsidP="00AC70F1">
      <w:pPr>
        <w:pStyle w:val="Funotentext"/>
      </w:pPr>
      <w:r w:rsidRPr="00252459">
        <w:rPr>
          <w:rStyle w:val="Funotenzeichen"/>
        </w:rPr>
        <w:footnoteRef/>
      </w:r>
      <w:r w:rsidRPr="00252459">
        <w:t xml:space="preserve"> https://frauenbeauftragte.hu-berlin.de/de/informationen/geschlechtergerechte-sprache/leitfaden-geschlechtergerechte-sprache-humboldt.pdf.</w:t>
      </w:r>
    </w:p>
  </w:footnote>
  <w:footnote w:id="3">
    <w:p w14:paraId="7E230DBD" w14:textId="13FB6F98" w:rsidR="00C4623E" w:rsidRPr="00252459" w:rsidRDefault="00C4623E">
      <w:pPr>
        <w:pStyle w:val="Funotentext"/>
      </w:pPr>
      <w:r w:rsidRPr="00252459">
        <w:rPr>
          <w:rStyle w:val="Funotenzeichen"/>
        </w:rPr>
        <w:footnoteRef/>
      </w:r>
      <w:r w:rsidRPr="00252459">
        <w:t xml:space="preserve"> Für den Berichtszeitraum 2023/24 wurde</w:t>
      </w:r>
      <w:r w:rsidR="00643326" w:rsidRPr="00252459">
        <w:t>n</w:t>
      </w:r>
      <w:r w:rsidRPr="00252459">
        <w:t xml:space="preserve"> keine Daten zu den Diplom- und Examensabschlüsse</w:t>
      </w:r>
      <w:r w:rsidR="00304115" w:rsidRPr="00252459">
        <w:t>n</w:t>
      </w:r>
      <w:r w:rsidRPr="00252459">
        <w:t xml:space="preserve"> übermittelt. </w:t>
      </w:r>
    </w:p>
  </w:footnote>
  <w:footnote w:id="4">
    <w:p w14:paraId="5C319C08" w14:textId="42A5C74A" w:rsidR="004C0D37" w:rsidRPr="00252459" w:rsidRDefault="004C0D37">
      <w:pPr>
        <w:pStyle w:val="Funotentext"/>
      </w:pPr>
      <w:r w:rsidRPr="00252459">
        <w:rPr>
          <w:rStyle w:val="Funotenzeichen"/>
        </w:rPr>
        <w:footnoteRef/>
      </w:r>
      <w:r w:rsidRPr="00252459">
        <w:t xml:space="preserve"> Der auffällige hohe Wert von 80% stammt aus dem Berichtszeitraum 2023/24, für den keine Daten zu den Diplom- und Examensabschlüssen übermittelt wurden. Dies könnte den Anteil </w:t>
      </w:r>
      <w:r w:rsidR="000809F4" w:rsidRPr="00252459">
        <w:t xml:space="preserve">der als weiblich gelesenen Studierenden, die einen Abschluss erreicht haben, erheblich verzerren. </w:t>
      </w:r>
    </w:p>
  </w:footnote>
  <w:footnote w:id="5">
    <w:p w14:paraId="327E80C8" w14:textId="5A981838" w:rsidR="0058179F" w:rsidRDefault="0058179F">
      <w:pPr>
        <w:pStyle w:val="Funotentext"/>
      </w:pPr>
      <w:r w:rsidRPr="00252459">
        <w:rPr>
          <w:rStyle w:val="Funotenzeichen"/>
        </w:rPr>
        <w:footnoteRef/>
      </w:r>
      <w:r w:rsidRPr="00252459">
        <w:t xml:space="preserve"> Die Fakultät achtet darauf, dass Gast- und Vertretungsprofessuren, die im Rahmen der großen Drittmittelprojekte des Hauses vergeben werden, mit Frauen besetzt werden. Dies war im </w:t>
      </w:r>
      <w:r w:rsidR="008A0C65" w:rsidRPr="00252459">
        <w:t xml:space="preserve">bereits im Rahmen des </w:t>
      </w:r>
      <w:r w:rsidRPr="00252459">
        <w:t>ERC-Grants im Zeitraum der Berichtserstattung (SoSe 2022 und SoSe 2023</w:t>
      </w:r>
      <w:r w:rsidR="008A0C65" w:rsidRPr="00252459">
        <w:t>)</w:t>
      </w:r>
      <w:r w:rsidRPr="00252459">
        <w:t xml:space="preserve"> zwei Mal der Fall.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400696"/>
      <w:docPartObj>
        <w:docPartGallery w:val="Page Numbers (Top of Page)"/>
        <w:docPartUnique/>
      </w:docPartObj>
    </w:sdtPr>
    <w:sdtEndPr/>
    <w:sdtContent>
      <w:p w14:paraId="489AC8E1" w14:textId="405B5029" w:rsidR="0085508D" w:rsidRDefault="00AC70F1" w:rsidP="0085508D">
        <w:pPr>
          <w:pStyle w:val="Kopfzeile"/>
          <w:jc w:val="right"/>
        </w:pPr>
        <w:r>
          <w:t>Gleichstellungskonzept der Theologischen Fakultät der HU 202</w:t>
        </w:r>
        <w:r w:rsidR="004C24C5">
          <w:t>4</w:t>
        </w:r>
        <w:r>
          <w:tab/>
        </w:r>
        <w:r>
          <w:fldChar w:fldCharType="begin"/>
        </w:r>
        <w:r>
          <w:instrText>PAGE   \* MERGEFORMAT</w:instrText>
        </w:r>
        <w:r>
          <w:fldChar w:fldCharType="separate"/>
        </w:r>
        <w:r w:rsidR="00767103">
          <w:rPr>
            <w:noProof/>
          </w:rPr>
          <w:t>3</w:t>
        </w:r>
        <w:r>
          <w:fldChar w:fldCharType="end"/>
        </w:r>
      </w:p>
    </w:sdtContent>
  </w:sdt>
  <w:p w14:paraId="75193082" w14:textId="77777777" w:rsidR="0085508D" w:rsidRDefault="008550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42F6"/>
    <w:multiLevelType w:val="hybridMultilevel"/>
    <w:tmpl w:val="BE48706C"/>
    <w:lvl w:ilvl="0" w:tplc="F59E642E">
      <w:start w:val="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A14AA"/>
    <w:multiLevelType w:val="multilevel"/>
    <w:tmpl w:val="EF7C09DA"/>
    <w:lvl w:ilvl="0">
      <w:start w:val="1"/>
      <w:numFmt w:val="decimal"/>
      <w:pStyle w:val="berschrift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86A1BD0"/>
    <w:multiLevelType w:val="hybridMultilevel"/>
    <w:tmpl w:val="D1F8B29C"/>
    <w:lvl w:ilvl="0" w:tplc="8BC69716">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0E17"/>
    <w:multiLevelType w:val="multilevel"/>
    <w:tmpl w:val="9900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F1"/>
    <w:rsid w:val="00001C79"/>
    <w:rsid w:val="00010A35"/>
    <w:rsid w:val="00010D2F"/>
    <w:rsid w:val="00013D15"/>
    <w:rsid w:val="00014FD7"/>
    <w:rsid w:val="000200E7"/>
    <w:rsid w:val="00024E1D"/>
    <w:rsid w:val="000259A5"/>
    <w:rsid w:val="00034484"/>
    <w:rsid w:val="00041047"/>
    <w:rsid w:val="0005358C"/>
    <w:rsid w:val="00053C31"/>
    <w:rsid w:val="00060CD8"/>
    <w:rsid w:val="000809F4"/>
    <w:rsid w:val="000A47D9"/>
    <w:rsid w:val="000A6D6A"/>
    <w:rsid w:val="000B1119"/>
    <w:rsid w:val="000E3347"/>
    <w:rsid w:val="000E432C"/>
    <w:rsid w:val="000F4E73"/>
    <w:rsid w:val="00103E6C"/>
    <w:rsid w:val="001057AF"/>
    <w:rsid w:val="001062BE"/>
    <w:rsid w:val="00111419"/>
    <w:rsid w:val="00114C29"/>
    <w:rsid w:val="00115300"/>
    <w:rsid w:val="00124309"/>
    <w:rsid w:val="001348DE"/>
    <w:rsid w:val="00142078"/>
    <w:rsid w:val="001671F2"/>
    <w:rsid w:val="0017500B"/>
    <w:rsid w:val="00185EA8"/>
    <w:rsid w:val="0019025B"/>
    <w:rsid w:val="001902F7"/>
    <w:rsid w:val="001914A1"/>
    <w:rsid w:val="00191FAC"/>
    <w:rsid w:val="001A12FF"/>
    <w:rsid w:val="001C4CF5"/>
    <w:rsid w:val="001D00B1"/>
    <w:rsid w:val="001E0BFF"/>
    <w:rsid w:val="001E52F6"/>
    <w:rsid w:val="001F3B9C"/>
    <w:rsid w:val="00202EA6"/>
    <w:rsid w:val="00202FB1"/>
    <w:rsid w:val="00204D5C"/>
    <w:rsid w:val="002405A8"/>
    <w:rsid w:val="00244B72"/>
    <w:rsid w:val="00247550"/>
    <w:rsid w:val="00252459"/>
    <w:rsid w:val="002625BB"/>
    <w:rsid w:val="0026300F"/>
    <w:rsid w:val="00266BB9"/>
    <w:rsid w:val="0027319C"/>
    <w:rsid w:val="00282AFF"/>
    <w:rsid w:val="00285D98"/>
    <w:rsid w:val="00285DA3"/>
    <w:rsid w:val="00291932"/>
    <w:rsid w:val="002973C5"/>
    <w:rsid w:val="002A0956"/>
    <w:rsid w:val="002A4A3D"/>
    <w:rsid w:val="002A73E9"/>
    <w:rsid w:val="002C0977"/>
    <w:rsid w:val="002F20DB"/>
    <w:rsid w:val="00302A98"/>
    <w:rsid w:val="00304115"/>
    <w:rsid w:val="00322927"/>
    <w:rsid w:val="00322A05"/>
    <w:rsid w:val="00324CE7"/>
    <w:rsid w:val="0034513F"/>
    <w:rsid w:val="003511FE"/>
    <w:rsid w:val="003572FD"/>
    <w:rsid w:val="00357BD0"/>
    <w:rsid w:val="00362900"/>
    <w:rsid w:val="003723E7"/>
    <w:rsid w:val="003816BA"/>
    <w:rsid w:val="00386E71"/>
    <w:rsid w:val="003A5E1F"/>
    <w:rsid w:val="003B5513"/>
    <w:rsid w:val="003B65C6"/>
    <w:rsid w:val="003D41A9"/>
    <w:rsid w:val="003E114A"/>
    <w:rsid w:val="003E3D0F"/>
    <w:rsid w:val="003E6636"/>
    <w:rsid w:val="003F5673"/>
    <w:rsid w:val="00415A7D"/>
    <w:rsid w:val="00434A2E"/>
    <w:rsid w:val="00435184"/>
    <w:rsid w:val="004359A2"/>
    <w:rsid w:val="0045472A"/>
    <w:rsid w:val="00454899"/>
    <w:rsid w:val="00455A1F"/>
    <w:rsid w:val="0047410B"/>
    <w:rsid w:val="00484D4B"/>
    <w:rsid w:val="00495333"/>
    <w:rsid w:val="004A063B"/>
    <w:rsid w:val="004A7C9E"/>
    <w:rsid w:val="004C0D37"/>
    <w:rsid w:val="004C24C5"/>
    <w:rsid w:val="004C6603"/>
    <w:rsid w:val="004E3F1E"/>
    <w:rsid w:val="004E7533"/>
    <w:rsid w:val="004F14A7"/>
    <w:rsid w:val="004F1FD1"/>
    <w:rsid w:val="004F7685"/>
    <w:rsid w:val="00502536"/>
    <w:rsid w:val="00510E2B"/>
    <w:rsid w:val="00526C42"/>
    <w:rsid w:val="00541488"/>
    <w:rsid w:val="00541B31"/>
    <w:rsid w:val="00544905"/>
    <w:rsid w:val="00556E3C"/>
    <w:rsid w:val="00564B25"/>
    <w:rsid w:val="00576D05"/>
    <w:rsid w:val="0058179F"/>
    <w:rsid w:val="005823BB"/>
    <w:rsid w:val="005914F8"/>
    <w:rsid w:val="005943AA"/>
    <w:rsid w:val="005A004E"/>
    <w:rsid w:val="005B2E67"/>
    <w:rsid w:val="005B501D"/>
    <w:rsid w:val="005C0BF7"/>
    <w:rsid w:val="005D7382"/>
    <w:rsid w:val="005E1592"/>
    <w:rsid w:val="00626BA3"/>
    <w:rsid w:val="00643326"/>
    <w:rsid w:val="00645565"/>
    <w:rsid w:val="00645C54"/>
    <w:rsid w:val="006718CE"/>
    <w:rsid w:val="00684D2D"/>
    <w:rsid w:val="006904E0"/>
    <w:rsid w:val="00690846"/>
    <w:rsid w:val="00694241"/>
    <w:rsid w:val="006D45EF"/>
    <w:rsid w:val="006E68AD"/>
    <w:rsid w:val="006F35BE"/>
    <w:rsid w:val="006F56D6"/>
    <w:rsid w:val="006F7C66"/>
    <w:rsid w:val="00736D2D"/>
    <w:rsid w:val="00736E68"/>
    <w:rsid w:val="00741393"/>
    <w:rsid w:val="00765259"/>
    <w:rsid w:val="00767103"/>
    <w:rsid w:val="00782D5F"/>
    <w:rsid w:val="007842B1"/>
    <w:rsid w:val="007903F2"/>
    <w:rsid w:val="00790B41"/>
    <w:rsid w:val="00794CE3"/>
    <w:rsid w:val="00795289"/>
    <w:rsid w:val="00797A94"/>
    <w:rsid w:val="007B3402"/>
    <w:rsid w:val="007B5049"/>
    <w:rsid w:val="007B59F6"/>
    <w:rsid w:val="007B67E4"/>
    <w:rsid w:val="007C60F2"/>
    <w:rsid w:val="007D0627"/>
    <w:rsid w:val="007D22FF"/>
    <w:rsid w:val="007D74C2"/>
    <w:rsid w:val="007E6C71"/>
    <w:rsid w:val="007E701A"/>
    <w:rsid w:val="007E752F"/>
    <w:rsid w:val="007F1E4A"/>
    <w:rsid w:val="007F69F3"/>
    <w:rsid w:val="00803EC5"/>
    <w:rsid w:val="00806A40"/>
    <w:rsid w:val="008071DC"/>
    <w:rsid w:val="00810440"/>
    <w:rsid w:val="00822ECF"/>
    <w:rsid w:val="008303D9"/>
    <w:rsid w:val="00837F24"/>
    <w:rsid w:val="0085508D"/>
    <w:rsid w:val="00871327"/>
    <w:rsid w:val="008A0C65"/>
    <w:rsid w:val="008C6ED1"/>
    <w:rsid w:val="008E3026"/>
    <w:rsid w:val="008F6DF6"/>
    <w:rsid w:val="008F763B"/>
    <w:rsid w:val="00905C92"/>
    <w:rsid w:val="00912D88"/>
    <w:rsid w:val="009169F3"/>
    <w:rsid w:val="009259D9"/>
    <w:rsid w:val="00940F4F"/>
    <w:rsid w:val="00946032"/>
    <w:rsid w:val="00946A74"/>
    <w:rsid w:val="00950F9F"/>
    <w:rsid w:val="00951995"/>
    <w:rsid w:val="00973210"/>
    <w:rsid w:val="00976175"/>
    <w:rsid w:val="009A06D3"/>
    <w:rsid w:val="009B5B26"/>
    <w:rsid w:val="009C2EAD"/>
    <w:rsid w:val="009C52B6"/>
    <w:rsid w:val="009D2804"/>
    <w:rsid w:val="009D44E7"/>
    <w:rsid w:val="009E12B1"/>
    <w:rsid w:val="009E18F1"/>
    <w:rsid w:val="009F2BD2"/>
    <w:rsid w:val="009F74F5"/>
    <w:rsid w:val="00A12AF8"/>
    <w:rsid w:val="00A34CC3"/>
    <w:rsid w:val="00A40ED5"/>
    <w:rsid w:val="00A51F71"/>
    <w:rsid w:val="00A75948"/>
    <w:rsid w:val="00A85013"/>
    <w:rsid w:val="00A87D5F"/>
    <w:rsid w:val="00A906A1"/>
    <w:rsid w:val="00AA5127"/>
    <w:rsid w:val="00AB06FD"/>
    <w:rsid w:val="00AC077A"/>
    <w:rsid w:val="00AC70F1"/>
    <w:rsid w:val="00AF239C"/>
    <w:rsid w:val="00B00A6F"/>
    <w:rsid w:val="00B10B82"/>
    <w:rsid w:val="00B1403A"/>
    <w:rsid w:val="00B41E36"/>
    <w:rsid w:val="00B4706B"/>
    <w:rsid w:val="00B67434"/>
    <w:rsid w:val="00B928AF"/>
    <w:rsid w:val="00BA13D1"/>
    <w:rsid w:val="00BA500B"/>
    <w:rsid w:val="00BC5833"/>
    <w:rsid w:val="00BC6099"/>
    <w:rsid w:val="00BD1CF9"/>
    <w:rsid w:val="00BF76DE"/>
    <w:rsid w:val="00C15924"/>
    <w:rsid w:val="00C249F5"/>
    <w:rsid w:val="00C354CF"/>
    <w:rsid w:val="00C4421B"/>
    <w:rsid w:val="00C4623E"/>
    <w:rsid w:val="00C523C0"/>
    <w:rsid w:val="00C5503C"/>
    <w:rsid w:val="00C6158E"/>
    <w:rsid w:val="00C61C17"/>
    <w:rsid w:val="00C80584"/>
    <w:rsid w:val="00C806A3"/>
    <w:rsid w:val="00C96407"/>
    <w:rsid w:val="00CA0299"/>
    <w:rsid w:val="00CC080E"/>
    <w:rsid w:val="00CC4FB1"/>
    <w:rsid w:val="00CD2BF6"/>
    <w:rsid w:val="00CF42E6"/>
    <w:rsid w:val="00CF5B3D"/>
    <w:rsid w:val="00D02D19"/>
    <w:rsid w:val="00D078CE"/>
    <w:rsid w:val="00D10254"/>
    <w:rsid w:val="00D21318"/>
    <w:rsid w:val="00D34248"/>
    <w:rsid w:val="00D448D5"/>
    <w:rsid w:val="00D466D3"/>
    <w:rsid w:val="00D46F65"/>
    <w:rsid w:val="00D52017"/>
    <w:rsid w:val="00D77047"/>
    <w:rsid w:val="00D84CA2"/>
    <w:rsid w:val="00D86ED0"/>
    <w:rsid w:val="00D870BB"/>
    <w:rsid w:val="00DA09BE"/>
    <w:rsid w:val="00DA2B58"/>
    <w:rsid w:val="00DB5F1C"/>
    <w:rsid w:val="00DC1F7C"/>
    <w:rsid w:val="00DC27C1"/>
    <w:rsid w:val="00DE636E"/>
    <w:rsid w:val="00DF6718"/>
    <w:rsid w:val="00E02957"/>
    <w:rsid w:val="00E455A9"/>
    <w:rsid w:val="00E5422D"/>
    <w:rsid w:val="00E617EB"/>
    <w:rsid w:val="00E627DA"/>
    <w:rsid w:val="00E63222"/>
    <w:rsid w:val="00E7230A"/>
    <w:rsid w:val="00E743DD"/>
    <w:rsid w:val="00E804CF"/>
    <w:rsid w:val="00E80946"/>
    <w:rsid w:val="00EA79E1"/>
    <w:rsid w:val="00EA7EE8"/>
    <w:rsid w:val="00EB7498"/>
    <w:rsid w:val="00EC10A6"/>
    <w:rsid w:val="00EC6C32"/>
    <w:rsid w:val="00ED7579"/>
    <w:rsid w:val="00EE053B"/>
    <w:rsid w:val="00EE6351"/>
    <w:rsid w:val="00F021AE"/>
    <w:rsid w:val="00F30125"/>
    <w:rsid w:val="00F33F81"/>
    <w:rsid w:val="00F46938"/>
    <w:rsid w:val="00F46E9D"/>
    <w:rsid w:val="00F50027"/>
    <w:rsid w:val="00F552E4"/>
    <w:rsid w:val="00F62979"/>
    <w:rsid w:val="00F84A47"/>
    <w:rsid w:val="00F86452"/>
    <w:rsid w:val="00FD6CCF"/>
    <w:rsid w:val="00FE53BC"/>
    <w:rsid w:val="00FF34EA"/>
    <w:rsid w:val="00FF399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FCF9"/>
  <w15:docId w15:val="{1B293AB3-FF33-4661-A685-90DBA84A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3EC5"/>
    <w:pPr>
      <w:widowControl w:val="0"/>
      <w:autoSpaceDE w:val="0"/>
      <w:autoSpaceDN w:val="0"/>
      <w:spacing w:after="0" w:line="240" w:lineRule="auto"/>
    </w:pPr>
    <w:rPr>
      <w:rFonts w:ascii="Times New Roman" w:eastAsia="Times New Roman" w:hAnsi="Times New Roman" w:cs="Times New Roman"/>
    </w:rPr>
  </w:style>
  <w:style w:type="paragraph" w:styleId="berschrift1">
    <w:name w:val="heading 1"/>
    <w:basedOn w:val="Standard"/>
    <w:next w:val="Standard"/>
    <w:link w:val="berschrift1Zchn"/>
    <w:autoRedefine/>
    <w:uiPriority w:val="9"/>
    <w:qFormat/>
    <w:rsid w:val="00AC70F1"/>
    <w:pPr>
      <w:keepNext/>
      <w:keepLines/>
      <w:numPr>
        <w:numId w:val="1"/>
      </w:numPr>
      <w:suppressAutoHyphens/>
      <w:spacing w:before="240" w:line="276" w:lineRule="auto"/>
      <w:textAlignment w:val="baseline"/>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AC70F1"/>
    <w:pPr>
      <w:suppressAutoHyphens/>
      <w:spacing w:line="360" w:lineRule="auto"/>
      <w:ind w:left="1843"/>
      <w:jc w:val="both"/>
      <w:textAlignment w:val="baseline"/>
      <w:outlineLvl w:val="1"/>
    </w:pPr>
    <w:rPr>
      <w:rFonts w:eastAsia="Calibri"/>
      <w:b/>
      <w:bCs/>
      <w:sz w:val="24"/>
      <w:szCs w:val="24"/>
    </w:rPr>
  </w:style>
  <w:style w:type="paragraph" w:styleId="berschrift4">
    <w:name w:val="heading 4"/>
    <w:basedOn w:val="Standard"/>
    <w:next w:val="Standard"/>
    <w:link w:val="berschrift4Zchn"/>
    <w:uiPriority w:val="9"/>
    <w:semiHidden/>
    <w:unhideWhenUsed/>
    <w:qFormat/>
    <w:rsid w:val="00CC08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70F1"/>
    <w:rPr>
      <w:rFonts w:ascii="Times New Roman" w:eastAsiaTheme="majorEastAsia" w:hAnsi="Times New Roman" w:cstheme="majorBidi"/>
      <w:b/>
      <w:bCs/>
      <w:sz w:val="24"/>
      <w:szCs w:val="32"/>
    </w:rPr>
  </w:style>
  <w:style w:type="character" w:customStyle="1" w:styleId="berschrift2Zchn">
    <w:name w:val="Überschrift 2 Zchn"/>
    <w:basedOn w:val="Absatz-Standardschriftart"/>
    <w:link w:val="berschrift2"/>
    <w:uiPriority w:val="9"/>
    <w:rsid w:val="00AC70F1"/>
    <w:rPr>
      <w:rFonts w:ascii="Times New Roman" w:eastAsia="Calibri" w:hAnsi="Times New Roman" w:cs="Times New Roman"/>
      <w:b/>
      <w:bCs/>
      <w:sz w:val="24"/>
      <w:szCs w:val="24"/>
    </w:rPr>
  </w:style>
  <w:style w:type="paragraph" w:styleId="Textkrper">
    <w:name w:val="Body Text"/>
    <w:basedOn w:val="Standard"/>
    <w:link w:val="TextkrperZchn"/>
    <w:uiPriority w:val="1"/>
    <w:qFormat/>
    <w:rsid w:val="00AC70F1"/>
    <w:rPr>
      <w:sz w:val="23"/>
      <w:szCs w:val="23"/>
    </w:rPr>
  </w:style>
  <w:style w:type="character" w:customStyle="1" w:styleId="TextkrperZchn">
    <w:name w:val="Textkörper Zchn"/>
    <w:basedOn w:val="Absatz-Standardschriftart"/>
    <w:link w:val="Textkrper"/>
    <w:uiPriority w:val="1"/>
    <w:rsid w:val="00AC70F1"/>
    <w:rPr>
      <w:rFonts w:ascii="Times New Roman" w:eastAsia="Times New Roman" w:hAnsi="Times New Roman" w:cs="Times New Roman"/>
      <w:sz w:val="23"/>
      <w:szCs w:val="23"/>
    </w:rPr>
  </w:style>
  <w:style w:type="paragraph" w:styleId="Funotentext">
    <w:name w:val="footnote text"/>
    <w:basedOn w:val="Standard"/>
    <w:link w:val="FunotentextZchn"/>
    <w:uiPriority w:val="99"/>
    <w:semiHidden/>
    <w:unhideWhenUsed/>
    <w:rsid w:val="00AC70F1"/>
    <w:rPr>
      <w:sz w:val="20"/>
      <w:szCs w:val="20"/>
    </w:rPr>
  </w:style>
  <w:style w:type="character" w:customStyle="1" w:styleId="FunotentextZchn">
    <w:name w:val="Fußnotentext Zchn"/>
    <w:basedOn w:val="Absatz-Standardschriftart"/>
    <w:link w:val="Funotentext"/>
    <w:uiPriority w:val="99"/>
    <w:semiHidden/>
    <w:rsid w:val="00AC70F1"/>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AC70F1"/>
    <w:rPr>
      <w:vertAlign w:val="superscript"/>
    </w:rPr>
  </w:style>
  <w:style w:type="paragraph" w:styleId="Kopfzeile">
    <w:name w:val="header"/>
    <w:basedOn w:val="Standard"/>
    <w:link w:val="KopfzeileZchn"/>
    <w:uiPriority w:val="99"/>
    <w:unhideWhenUsed/>
    <w:rsid w:val="00AC70F1"/>
    <w:pPr>
      <w:tabs>
        <w:tab w:val="center" w:pos="4536"/>
        <w:tab w:val="right" w:pos="9072"/>
      </w:tabs>
    </w:pPr>
  </w:style>
  <w:style w:type="character" w:customStyle="1" w:styleId="KopfzeileZchn">
    <w:name w:val="Kopfzeile Zchn"/>
    <w:basedOn w:val="Absatz-Standardschriftart"/>
    <w:link w:val="Kopfzeile"/>
    <w:uiPriority w:val="99"/>
    <w:rsid w:val="00AC70F1"/>
    <w:rPr>
      <w:rFonts w:ascii="Times New Roman" w:eastAsia="Times New Roman" w:hAnsi="Times New Roman" w:cs="Times New Roman"/>
    </w:rPr>
  </w:style>
  <w:style w:type="paragraph" w:styleId="Fuzeile">
    <w:name w:val="footer"/>
    <w:basedOn w:val="Standard"/>
    <w:link w:val="FuzeileZchn"/>
    <w:uiPriority w:val="99"/>
    <w:unhideWhenUsed/>
    <w:rsid w:val="00AC70F1"/>
    <w:pPr>
      <w:tabs>
        <w:tab w:val="center" w:pos="4536"/>
        <w:tab w:val="right" w:pos="9072"/>
      </w:tabs>
    </w:pPr>
  </w:style>
  <w:style w:type="character" w:customStyle="1" w:styleId="FuzeileZchn">
    <w:name w:val="Fußzeile Zchn"/>
    <w:basedOn w:val="Absatz-Standardschriftart"/>
    <w:link w:val="Fuzeile"/>
    <w:uiPriority w:val="99"/>
    <w:rsid w:val="00AC70F1"/>
    <w:rPr>
      <w:rFonts w:ascii="Times New Roman" w:eastAsia="Times New Roman" w:hAnsi="Times New Roman" w:cs="Times New Roman"/>
    </w:rPr>
  </w:style>
  <w:style w:type="paragraph" w:styleId="berarbeitung">
    <w:name w:val="Revision"/>
    <w:hidden/>
    <w:uiPriority w:val="99"/>
    <w:semiHidden/>
    <w:rsid w:val="001F3B9C"/>
    <w:pPr>
      <w:spacing w:after="0" w:line="240" w:lineRule="auto"/>
    </w:pPr>
    <w:rPr>
      <w:rFonts w:ascii="Times New Roman" w:eastAsia="Times New Roman" w:hAnsi="Times New Roman" w:cs="Times New Roman"/>
    </w:rPr>
  </w:style>
  <w:style w:type="character" w:customStyle="1" w:styleId="berschrift4Zchn">
    <w:name w:val="Überschrift 4 Zchn"/>
    <w:basedOn w:val="Absatz-Standardschriftart"/>
    <w:link w:val="berschrift4"/>
    <w:uiPriority w:val="9"/>
    <w:semiHidden/>
    <w:rsid w:val="00CC080E"/>
    <w:rPr>
      <w:rFonts w:asciiTheme="majorHAnsi" w:eastAsiaTheme="majorEastAsia" w:hAnsiTheme="majorHAnsi" w:cstheme="majorBidi"/>
      <w:i/>
      <w:iCs/>
      <w:color w:val="2F5496" w:themeColor="accent1" w:themeShade="BF"/>
    </w:rPr>
  </w:style>
  <w:style w:type="character" w:styleId="Kommentarzeichen">
    <w:name w:val="annotation reference"/>
    <w:basedOn w:val="Absatz-Standardschriftart"/>
    <w:uiPriority w:val="99"/>
    <w:semiHidden/>
    <w:unhideWhenUsed/>
    <w:rsid w:val="001348DE"/>
    <w:rPr>
      <w:sz w:val="16"/>
      <w:szCs w:val="16"/>
    </w:rPr>
  </w:style>
  <w:style w:type="paragraph" w:styleId="Kommentartext">
    <w:name w:val="annotation text"/>
    <w:basedOn w:val="Standard"/>
    <w:link w:val="KommentartextZchn"/>
    <w:uiPriority w:val="99"/>
    <w:unhideWhenUsed/>
    <w:rsid w:val="001348DE"/>
    <w:rPr>
      <w:sz w:val="20"/>
      <w:szCs w:val="20"/>
    </w:rPr>
  </w:style>
  <w:style w:type="character" w:customStyle="1" w:styleId="KommentartextZchn">
    <w:name w:val="Kommentartext Zchn"/>
    <w:basedOn w:val="Absatz-Standardschriftart"/>
    <w:link w:val="Kommentartext"/>
    <w:uiPriority w:val="99"/>
    <w:rsid w:val="001348DE"/>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1348DE"/>
    <w:rPr>
      <w:b/>
      <w:bCs/>
    </w:rPr>
  </w:style>
  <w:style w:type="character" w:customStyle="1" w:styleId="KommentarthemaZchn">
    <w:name w:val="Kommentarthema Zchn"/>
    <w:basedOn w:val="KommentartextZchn"/>
    <w:link w:val="Kommentarthema"/>
    <w:uiPriority w:val="99"/>
    <w:semiHidden/>
    <w:rsid w:val="001348DE"/>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8713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1327"/>
    <w:rPr>
      <w:rFonts w:ascii="Segoe UI" w:eastAsia="Times New Roman" w:hAnsi="Segoe UI" w:cs="Segoe UI"/>
      <w:sz w:val="18"/>
      <w:szCs w:val="18"/>
    </w:rPr>
  </w:style>
  <w:style w:type="table" w:styleId="Tabellenraster">
    <w:name w:val="Table Grid"/>
    <w:basedOn w:val="NormaleTabelle"/>
    <w:uiPriority w:val="39"/>
    <w:rsid w:val="00F6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51F7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6049">
      <w:bodyDiv w:val="1"/>
      <w:marLeft w:val="0"/>
      <w:marRight w:val="0"/>
      <w:marTop w:val="0"/>
      <w:marBottom w:val="0"/>
      <w:divBdr>
        <w:top w:val="none" w:sz="0" w:space="0" w:color="auto"/>
        <w:left w:val="none" w:sz="0" w:space="0" w:color="auto"/>
        <w:bottom w:val="none" w:sz="0" w:space="0" w:color="auto"/>
        <w:right w:val="none" w:sz="0" w:space="0" w:color="auto"/>
      </w:divBdr>
      <w:divsChild>
        <w:div w:id="132140255">
          <w:marLeft w:val="0"/>
          <w:marRight w:val="0"/>
          <w:marTop w:val="0"/>
          <w:marBottom w:val="0"/>
          <w:divBdr>
            <w:top w:val="none" w:sz="0" w:space="0" w:color="auto"/>
            <w:left w:val="none" w:sz="0" w:space="0" w:color="auto"/>
            <w:bottom w:val="none" w:sz="0" w:space="0" w:color="auto"/>
            <w:right w:val="none" w:sz="0" w:space="0" w:color="auto"/>
          </w:divBdr>
        </w:div>
        <w:div w:id="527908215">
          <w:marLeft w:val="0"/>
          <w:marRight w:val="0"/>
          <w:marTop w:val="0"/>
          <w:marBottom w:val="0"/>
          <w:divBdr>
            <w:top w:val="none" w:sz="0" w:space="0" w:color="auto"/>
            <w:left w:val="none" w:sz="0" w:space="0" w:color="auto"/>
            <w:bottom w:val="none" w:sz="0" w:space="0" w:color="auto"/>
            <w:right w:val="none" w:sz="0" w:space="0" w:color="auto"/>
          </w:divBdr>
        </w:div>
        <w:div w:id="306126822">
          <w:marLeft w:val="0"/>
          <w:marRight w:val="0"/>
          <w:marTop w:val="0"/>
          <w:marBottom w:val="0"/>
          <w:divBdr>
            <w:top w:val="none" w:sz="0" w:space="0" w:color="auto"/>
            <w:left w:val="none" w:sz="0" w:space="0" w:color="auto"/>
            <w:bottom w:val="none" w:sz="0" w:space="0" w:color="auto"/>
            <w:right w:val="none" w:sz="0" w:space="0" w:color="auto"/>
          </w:divBdr>
        </w:div>
        <w:div w:id="990408111">
          <w:marLeft w:val="0"/>
          <w:marRight w:val="0"/>
          <w:marTop w:val="0"/>
          <w:marBottom w:val="0"/>
          <w:divBdr>
            <w:top w:val="none" w:sz="0" w:space="0" w:color="auto"/>
            <w:left w:val="none" w:sz="0" w:space="0" w:color="auto"/>
            <w:bottom w:val="none" w:sz="0" w:space="0" w:color="auto"/>
            <w:right w:val="none" w:sz="0" w:space="0" w:color="auto"/>
          </w:divBdr>
        </w:div>
        <w:div w:id="169030499">
          <w:marLeft w:val="0"/>
          <w:marRight w:val="0"/>
          <w:marTop w:val="0"/>
          <w:marBottom w:val="0"/>
          <w:divBdr>
            <w:top w:val="none" w:sz="0" w:space="0" w:color="auto"/>
            <w:left w:val="none" w:sz="0" w:space="0" w:color="auto"/>
            <w:bottom w:val="none" w:sz="0" w:space="0" w:color="auto"/>
            <w:right w:val="none" w:sz="0" w:space="0" w:color="auto"/>
          </w:divBdr>
        </w:div>
        <w:div w:id="2007243205">
          <w:marLeft w:val="0"/>
          <w:marRight w:val="0"/>
          <w:marTop w:val="0"/>
          <w:marBottom w:val="0"/>
          <w:divBdr>
            <w:top w:val="none" w:sz="0" w:space="0" w:color="auto"/>
            <w:left w:val="none" w:sz="0" w:space="0" w:color="auto"/>
            <w:bottom w:val="none" w:sz="0" w:space="0" w:color="auto"/>
            <w:right w:val="none" w:sz="0" w:space="0" w:color="auto"/>
          </w:divBdr>
        </w:div>
        <w:div w:id="749928710">
          <w:marLeft w:val="0"/>
          <w:marRight w:val="0"/>
          <w:marTop w:val="0"/>
          <w:marBottom w:val="0"/>
          <w:divBdr>
            <w:top w:val="none" w:sz="0" w:space="0" w:color="auto"/>
            <w:left w:val="none" w:sz="0" w:space="0" w:color="auto"/>
            <w:bottom w:val="none" w:sz="0" w:space="0" w:color="auto"/>
            <w:right w:val="none" w:sz="0" w:space="0" w:color="auto"/>
          </w:divBdr>
        </w:div>
        <w:div w:id="1116176274">
          <w:marLeft w:val="0"/>
          <w:marRight w:val="0"/>
          <w:marTop w:val="0"/>
          <w:marBottom w:val="0"/>
          <w:divBdr>
            <w:top w:val="none" w:sz="0" w:space="0" w:color="auto"/>
            <w:left w:val="none" w:sz="0" w:space="0" w:color="auto"/>
            <w:bottom w:val="none" w:sz="0" w:space="0" w:color="auto"/>
            <w:right w:val="none" w:sz="0" w:space="0" w:color="auto"/>
          </w:divBdr>
        </w:div>
        <w:div w:id="673192444">
          <w:marLeft w:val="0"/>
          <w:marRight w:val="0"/>
          <w:marTop w:val="0"/>
          <w:marBottom w:val="0"/>
          <w:divBdr>
            <w:top w:val="none" w:sz="0" w:space="0" w:color="auto"/>
            <w:left w:val="none" w:sz="0" w:space="0" w:color="auto"/>
            <w:bottom w:val="none" w:sz="0" w:space="0" w:color="auto"/>
            <w:right w:val="none" w:sz="0" w:space="0" w:color="auto"/>
          </w:divBdr>
        </w:div>
        <w:div w:id="1979728314">
          <w:marLeft w:val="0"/>
          <w:marRight w:val="0"/>
          <w:marTop w:val="0"/>
          <w:marBottom w:val="0"/>
          <w:divBdr>
            <w:top w:val="none" w:sz="0" w:space="0" w:color="auto"/>
            <w:left w:val="none" w:sz="0" w:space="0" w:color="auto"/>
            <w:bottom w:val="none" w:sz="0" w:space="0" w:color="auto"/>
            <w:right w:val="none" w:sz="0" w:space="0" w:color="auto"/>
          </w:divBdr>
        </w:div>
        <w:div w:id="384065733">
          <w:marLeft w:val="0"/>
          <w:marRight w:val="0"/>
          <w:marTop w:val="0"/>
          <w:marBottom w:val="0"/>
          <w:divBdr>
            <w:top w:val="none" w:sz="0" w:space="0" w:color="auto"/>
            <w:left w:val="none" w:sz="0" w:space="0" w:color="auto"/>
            <w:bottom w:val="none" w:sz="0" w:space="0" w:color="auto"/>
            <w:right w:val="none" w:sz="0" w:space="0" w:color="auto"/>
          </w:divBdr>
        </w:div>
      </w:divsChild>
    </w:div>
    <w:div w:id="417294894">
      <w:bodyDiv w:val="1"/>
      <w:marLeft w:val="0"/>
      <w:marRight w:val="0"/>
      <w:marTop w:val="0"/>
      <w:marBottom w:val="0"/>
      <w:divBdr>
        <w:top w:val="none" w:sz="0" w:space="0" w:color="auto"/>
        <w:left w:val="none" w:sz="0" w:space="0" w:color="auto"/>
        <w:bottom w:val="none" w:sz="0" w:space="0" w:color="auto"/>
        <w:right w:val="none" w:sz="0" w:space="0" w:color="auto"/>
      </w:divBdr>
      <w:divsChild>
        <w:div w:id="1497762767">
          <w:marLeft w:val="0"/>
          <w:marRight w:val="0"/>
          <w:marTop w:val="0"/>
          <w:marBottom w:val="0"/>
          <w:divBdr>
            <w:top w:val="none" w:sz="0" w:space="0" w:color="auto"/>
            <w:left w:val="none" w:sz="0" w:space="0" w:color="auto"/>
            <w:bottom w:val="none" w:sz="0" w:space="0" w:color="auto"/>
            <w:right w:val="none" w:sz="0" w:space="0" w:color="auto"/>
          </w:divBdr>
        </w:div>
        <w:div w:id="298849236">
          <w:marLeft w:val="0"/>
          <w:marRight w:val="0"/>
          <w:marTop w:val="0"/>
          <w:marBottom w:val="0"/>
          <w:divBdr>
            <w:top w:val="none" w:sz="0" w:space="0" w:color="auto"/>
            <w:left w:val="none" w:sz="0" w:space="0" w:color="auto"/>
            <w:bottom w:val="none" w:sz="0" w:space="0" w:color="auto"/>
            <w:right w:val="none" w:sz="0" w:space="0" w:color="auto"/>
          </w:divBdr>
        </w:div>
        <w:div w:id="846292053">
          <w:marLeft w:val="0"/>
          <w:marRight w:val="0"/>
          <w:marTop w:val="0"/>
          <w:marBottom w:val="0"/>
          <w:divBdr>
            <w:top w:val="none" w:sz="0" w:space="0" w:color="auto"/>
            <w:left w:val="none" w:sz="0" w:space="0" w:color="auto"/>
            <w:bottom w:val="none" w:sz="0" w:space="0" w:color="auto"/>
            <w:right w:val="none" w:sz="0" w:space="0" w:color="auto"/>
          </w:divBdr>
        </w:div>
        <w:div w:id="944965453">
          <w:marLeft w:val="0"/>
          <w:marRight w:val="0"/>
          <w:marTop w:val="0"/>
          <w:marBottom w:val="0"/>
          <w:divBdr>
            <w:top w:val="none" w:sz="0" w:space="0" w:color="auto"/>
            <w:left w:val="none" w:sz="0" w:space="0" w:color="auto"/>
            <w:bottom w:val="none" w:sz="0" w:space="0" w:color="auto"/>
            <w:right w:val="none" w:sz="0" w:space="0" w:color="auto"/>
          </w:divBdr>
        </w:div>
        <w:div w:id="664550538">
          <w:marLeft w:val="0"/>
          <w:marRight w:val="0"/>
          <w:marTop w:val="0"/>
          <w:marBottom w:val="0"/>
          <w:divBdr>
            <w:top w:val="none" w:sz="0" w:space="0" w:color="auto"/>
            <w:left w:val="none" w:sz="0" w:space="0" w:color="auto"/>
            <w:bottom w:val="none" w:sz="0" w:space="0" w:color="auto"/>
            <w:right w:val="none" w:sz="0" w:space="0" w:color="auto"/>
          </w:divBdr>
        </w:div>
        <w:div w:id="65929512">
          <w:marLeft w:val="0"/>
          <w:marRight w:val="0"/>
          <w:marTop w:val="0"/>
          <w:marBottom w:val="0"/>
          <w:divBdr>
            <w:top w:val="none" w:sz="0" w:space="0" w:color="auto"/>
            <w:left w:val="none" w:sz="0" w:space="0" w:color="auto"/>
            <w:bottom w:val="none" w:sz="0" w:space="0" w:color="auto"/>
            <w:right w:val="none" w:sz="0" w:space="0" w:color="auto"/>
          </w:divBdr>
        </w:div>
        <w:div w:id="1706632269">
          <w:marLeft w:val="0"/>
          <w:marRight w:val="0"/>
          <w:marTop w:val="0"/>
          <w:marBottom w:val="0"/>
          <w:divBdr>
            <w:top w:val="none" w:sz="0" w:space="0" w:color="auto"/>
            <w:left w:val="none" w:sz="0" w:space="0" w:color="auto"/>
            <w:bottom w:val="none" w:sz="0" w:space="0" w:color="auto"/>
            <w:right w:val="none" w:sz="0" w:space="0" w:color="auto"/>
          </w:divBdr>
        </w:div>
        <w:div w:id="1109131597">
          <w:marLeft w:val="0"/>
          <w:marRight w:val="0"/>
          <w:marTop w:val="0"/>
          <w:marBottom w:val="0"/>
          <w:divBdr>
            <w:top w:val="none" w:sz="0" w:space="0" w:color="auto"/>
            <w:left w:val="none" w:sz="0" w:space="0" w:color="auto"/>
            <w:bottom w:val="none" w:sz="0" w:space="0" w:color="auto"/>
            <w:right w:val="none" w:sz="0" w:space="0" w:color="auto"/>
          </w:divBdr>
        </w:div>
        <w:div w:id="1914193971">
          <w:marLeft w:val="0"/>
          <w:marRight w:val="0"/>
          <w:marTop w:val="0"/>
          <w:marBottom w:val="0"/>
          <w:divBdr>
            <w:top w:val="none" w:sz="0" w:space="0" w:color="auto"/>
            <w:left w:val="none" w:sz="0" w:space="0" w:color="auto"/>
            <w:bottom w:val="none" w:sz="0" w:space="0" w:color="auto"/>
            <w:right w:val="none" w:sz="0" w:space="0" w:color="auto"/>
          </w:divBdr>
        </w:div>
        <w:div w:id="1939017504">
          <w:marLeft w:val="0"/>
          <w:marRight w:val="0"/>
          <w:marTop w:val="0"/>
          <w:marBottom w:val="0"/>
          <w:divBdr>
            <w:top w:val="none" w:sz="0" w:space="0" w:color="auto"/>
            <w:left w:val="none" w:sz="0" w:space="0" w:color="auto"/>
            <w:bottom w:val="none" w:sz="0" w:space="0" w:color="auto"/>
            <w:right w:val="none" w:sz="0" w:space="0" w:color="auto"/>
          </w:divBdr>
        </w:div>
        <w:div w:id="1431318577">
          <w:marLeft w:val="0"/>
          <w:marRight w:val="0"/>
          <w:marTop w:val="0"/>
          <w:marBottom w:val="0"/>
          <w:divBdr>
            <w:top w:val="none" w:sz="0" w:space="0" w:color="auto"/>
            <w:left w:val="none" w:sz="0" w:space="0" w:color="auto"/>
            <w:bottom w:val="none" w:sz="0" w:space="0" w:color="auto"/>
            <w:right w:val="none" w:sz="0" w:space="0" w:color="auto"/>
          </w:divBdr>
        </w:div>
      </w:divsChild>
    </w:div>
    <w:div w:id="548420166">
      <w:bodyDiv w:val="1"/>
      <w:marLeft w:val="0"/>
      <w:marRight w:val="0"/>
      <w:marTop w:val="0"/>
      <w:marBottom w:val="0"/>
      <w:divBdr>
        <w:top w:val="none" w:sz="0" w:space="0" w:color="auto"/>
        <w:left w:val="none" w:sz="0" w:space="0" w:color="auto"/>
        <w:bottom w:val="none" w:sz="0" w:space="0" w:color="auto"/>
        <w:right w:val="none" w:sz="0" w:space="0" w:color="auto"/>
      </w:divBdr>
    </w:div>
    <w:div w:id="958100778">
      <w:bodyDiv w:val="1"/>
      <w:marLeft w:val="0"/>
      <w:marRight w:val="0"/>
      <w:marTop w:val="0"/>
      <w:marBottom w:val="0"/>
      <w:divBdr>
        <w:top w:val="none" w:sz="0" w:space="0" w:color="auto"/>
        <w:left w:val="none" w:sz="0" w:space="0" w:color="auto"/>
        <w:bottom w:val="none" w:sz="0" w:space="0" w:color="auto"/>
        <w:right w:val="none" w:sz="0" w:space="0" w:color="auto"/>
      </w:divBdr>
    </w:div>
    <w:div w:id="1074471478">
      <w:bodyDiv w:val="1"/>
      <w:marLeft w:val="0"/>
      <w:marRight w:val="0"/>
      <w:marTop w:val="0"/>
      <w:marBottom w:val="0"/>
      <w:divBdr>
        <w:top w:val="none" w:sz="0" w:space="0" w:color="auto"/>
        <w:left w:val="none" w:sz="0" w:space="0" w:color="auto"/>
        <w:bottom w:val="none" w:sz="0" w:space="0" w:color="auto"/>
        <w:right w:val="none" w:sz="0" w:space="0" w:color="auto"/>
      </w:divBdr>
      <w:divsChild>
        <w:div w:id="1812595085">
          <w:marLeft w:val="0"/>
          <w:marRight w:val="0"/>
          <w:marTop w:val="0"/>
          <w:marBottom w:val="0"/>
          <w:divBdr>
            <w:top w:val="none" w:sz="0" w:space="0" w:color="auto"/>
            <w:left w:val="none" w:sz="0" w:space="0" w:color="auto"/>
            <w:bottom w:val="none" w:sz="0" w:space="0" w:color="auto"/>
            <w:right w:val="none" w:sz="0" w:space="0" w:color="auto"/>
          </w:divBdr>
        </w:div>
        <w:div w:id="418186360">
          <w:marLeft w:val="0"/>
          <w:marRight w:val="0"/>
          <w:marTop w:val="0"/>
          <w:marBottom w:val="0"/>
          <w:divBdr>
            <w:top w:val="none" w:sz="0" w:space="0" w:color="auto"/>
            <w:left w:val="none" w:sz="0" w:space="0" w:color="auto"/>
            <w:bottom w:val="none" w:sz="0" w:space="0" w:color="auto"/>
            <w:right w:val="none" w:sz="0" w:space="0" w:color="auto"/>
          </w:divBdr>
        </w:div>
        <w:div w:id="2124880520">
          <w:marLeft w:val="0"/>
          <w:marRight w:val="0"/>
          <w:marTop w:val="0"/>
          <w:marBottom w:val="0"/>
          <w:divBdr>
            <w:top w:val="none" w:sz="0" w:space="0" w:color="auto"/>
            <w:left w:val="none" w:sz="0" w:space="0" w:color="auto"/>
            <w:bottom w:val="none" w:sz="0" w:space="0" w:color="auto"/>
            <w:right w:val="none" w:sz="0" w:space="0" w:color="auto"/>
          </w:divBdr>
        </w:div>
        <w:div w:id="1656761811">
          <w:marLeft w:val="0"/>
          <w:marRight w:val="0"/>
          <w:marTop w:val="0"/>
          <w:marBottom w:val="0"/>
          <w:divBdr>
            <w:top w:val="none" w:sz="0" w:space="0" w:color="auto"/>
            <w:left w:val="none" w:sz="0" w:space="0" w:color="auto"/>
            <w:bottom w:val="none" w:sz="0" w:space="0" w:color="auto"/>
            <w:right w:val="none" w:sz="0" w:space="0" w:color="auto"/>
          </w:divBdr>
        </w:div>
        <w:div w:id="2059163471">
          <w:marLeft w:val="0"/>
          <w:marRight w:val="0"/>
          <w:marTop w:val="0"/>
          <w:marBottom w:val="0"/>
          <w:divBdr>
            <w:top w:val="none" w:sz="0" w:space="0" w:color="auto"/>
            <w:left w:val="none" w:sz="0" w:space="0" w:color="auto"/>
            <w:bottom w:val="none" w:sz="0" w:space="0" w:color="auto"/>
            <w:right w:val="none" w:sz="0" w:space="0" w:color="auto"/>
          </w:divBdr>
        </w:div>
        <w:div w:id="556549724">
          <w:marLeft w:val="0"/>
          <w:marRight w:val="0"/>
          <w:marTop w:val="0"/>
          <w:marBottom w:val="0"/>
          <w:divBdr>
            <w:top w:val="none" w:sz="0" w:space="0" w:color="auto"/>
            <w:left w:val="none" w:sz="0" w:space="0" w:color="auto"/>
            <w:bottom w:val="none" w:sz="0" w:space="0" w:color="auto"/>
            <w:right w:val="none" w:sz="0" w:space="0" w:color="auto"/>
          </w:divBdr>
        </w:div>
        <w:div w:id="1129400706">
          <w:marLeft w:val="0"/>
          <w:marRight w:val="0"/>
          <w:marTop w:val="0"/>
          <w:marBottom w:val="0"/>
          <w:divBdr>
            <w:top w:val="none" w:sz="0" w:space="0" w:color="auto"/>
            <w:left w:val="none" w:sz="0" w:space="0" w:color="auto"/>
            <w:bottom w:val="none" w:sz="0" w:space="0" w:color="auto"/>
            <w:right w:val="none" w:sz="0" w:space="0" w:color="auto"/>
          </w:divBdr>
        </w:div>
        <w:div w:id="704597114">
          <w:marLeft w:val="0"/>
          <w:marRight w:val="0"/>
          <w:marTop w:val="0"/>
          <w:marBottom w:val="0"/>
          <w:divBdr>
            <w:top w:val="none" w:sz="0" w:space="0" w:color="auto"/>
            <w:left w:val="none" w:sz="0" w:space="0" w:color="auto"/>
            <w:bottom w:val="none" w:sz="0" w:space="0" w:color="auto"/>
            <w:right w:val="none" w:sz="0" w:space="0" w:color="auto"/>
          </w:divBdr>
        </w:div>
        <w:div w:id="42368175">
          <w:marLeft w:val="0"/>
          <w:marRight w:val="0"/>
          <w:marTop w:val="0"/>
          <w:marBottom w:val="0"/>
          <w:divBdr>
            <w:top w:val="none" w:sz="0" w:space="0" w:color="auto"/>
            <w:left w:val="none" w:sz="0" w:space="0" w:color="auto"/>
            <w:bottom w:val="none" w:sz="0" w:space="0" w:color="auto"/>
            <w:right w:val="none" w:sz="0" w:space="0" w:color="auto"/>
          </w:divBdr>
        </w:div>
        <w:div w:id="2027708277">
          <w:marLeft w:val="0"/>
          <w:marRight w:val="0"/>
          <w:marTop w:val="0"/>
          <w:marBottom w:val="0"/>
          <w:divBdr>
            <w:top w:val="none" w:sz="0" w:space="0" w:color="auto"/>
            <w:left w:val="none" w:sz="0" w:space="0" w:color="auto"/>
            <w:bottom w:val="none" w:sz="0" w:space="0" w:color="auto"/>
            <w:right w:val="none" w:sz="0" w:space="0" w:color="auto"/>
          </w:divBdr>
        </w:div>
        <w:div w:id="496573664">
          <w:marLeft w:val="0"/>
          <w:marRight w:val="0"/>
          <w:marTop w:val="0"/>
          <w:marBottom w:val="0"/>
          <w:divBdr>
            <w:top w:val="none" w:sz="0" w:space="0" w:color="auto"/>
            <w:left w:val="none" w:sz="0" w:space="0" w:color="auto"/>
            <w:bottom w:val="none" w:sz="0" w:space="0" w:color="auto"/>
            <w:right w:val="none" w:sz="0" w:space="0" w:color="auto"/>
          </w:divBdr>
        </w:div>
      </w:divsChild>
    </w:div>
    <w:div w:id="1761635557">
      <w:bodyDiv w:val="1"/>
      <w:marLeft w:val="0"/>
      <w:marRight w:val="0"/>
      <w:marTop w:val="0"/>
      <w:marBottom w:val="0"/>
      <w:divBdr>
        <w:top w:val="none" w:sz="0" w:space="0" w:color="auto"/>
        <w:left w:val="none" w:sz="0" w:space="0" w:color="auto"/>
        <w:bottom w:val="none" w:sz="0" w:space="0" w:color="auto"/>
        <w:right w:val="none" w:sz="0" w:space="0" w:color="auto"/>
      </w:divBdr>
    </w:div>
    <w:div w:id="197906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7FDF-DA54-436B-91F3-17A916B3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3978</Words>
  <Characters>25064</Characters>
  <Application>Microsoft Office Word</Application>
  <DocSecurity>0</DocSecurity>
  <Lines>208</Lines>
  <Paragraphs>57</Paragraphs>
  <ScaleCrop>false</ScaleCrop>
  <HeadingPairs>
    <vt:vector size="6" baseType="variant">
      <vt:variant>
        <vt:lpstr>Titel</vt:lpstr>
      </vt:variant>
      <vt:variant>
        <vt:i4>1</vt:i4>
      </vt:variant>
      <vt:variant>
        <vt:lpstr>Überschriften</vt:lpstr>
      </vt:variant>
      <vt:variant>
        <vt:i4>9</vt:i4>
      </vt:variant>
      <vt:variant>
        <vt:lpstr>Titolo</vt:lpstr>
      </vt:variant>
      <vt:variant>
        <vt:i4>1</vt:i4>
      </vt:variant>
    </vt:vector>
  </HeadingPairs>
  <TitlesOfParts>
    <vt:vector size="11" baseType="lpstr">
      <vt:lpstr/>
      <vt:lpstr>1. Institutionen der Fakultät zur Förderung der Gleichstellung und ihre Arbeit i</vt:lpstr>
      <vt:lpstr>    </vt:lpstr>
      <vt:lpstr>2.4 Diversitätssensibilität für genderqueere Personen </vt:lpstr>
      <vt:lpstr>2.5 Erstakademiker*innen</vt:lpstr>
      <vt:lpstr/>
      <vt:lpstr>2.6 Personen mit Migrationsgeschichte</vt:lpstr>
      <vt:lpstr>3. Zahlen</vt:lpstr>
      <vt:lpstr>    3.1 Studierende</vt:lpstr>
      <vt:lpstr>3.2 Mitarbeitende</vt:lpstr>
      <vt:lpstr/>
    </vt:vector>
  </TitlesOfParts>
  <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Mausolf</dc:creator>
  <cp:keywords/>
  <dc:description/>
  <cp:lastModifiedBy>Anastasiia Pedosenko</cp:lastModifiedBy>
  <cp:revision>3</cp:revision>
  <dcterms:created xsi:type="dcterms:W3CDTF">2025-04-15T06:55:00Z</dcterms:created>
  <dcterms:modified xsi:type="dcterms:W3CDTF">2025-04-16T13:55:00Z</dcterms:modified>
</cp:coreProperties>
</file>